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8A" w:rsidRDefault="00AB388A" w:rsidP="00AB388A">
      <w:pPr>
        <w:jc w:val="both"/>
        <w:rPr>
          <w:rFonts w:ascii="Arial" w:hAnsi="Arial" w:cs="Arial"/>
          <w:b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Tomo 86; Colima, Col., Sábado 10 de Noviembre de 2001; Núm. 46; Pág. 02</w:t>
      </w:r>
    </w:p>
    <w:p w:rsidR="00AB388A" w:rsidRPr="00AB388A" w:rsidRDefault="00AB388A" w:rsidP="00AB388A">
      <w:pPr>
        <w:jc w:val="both"/>
        <w:rPr>
          <w:rFonts w:ascii="Arial" w:hAnsi="Arial" w:cs="Arial"/>
          <w:b/>
          <w:sz w:val="20"/>
          <w:szCs w:val="20"/>
        </w:rPr>
      </w:pPr>
    </w:p>
    <w:p w:rsidR="00AB388A" w:rsidRDefault="00AB388A" w:rsidP="00475570">
      <w:pPr>
        <w:jc w:val="right"/>
        <w:rPr>
          <w:rFonts w:ascii="Arial" w:hAnsi="Arial" w:cs="Arial"/>
          <w:b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DEL GOBIERNO MUNICIPAL</w:t>
      </w:r>
      <w:r w:rsidR="004755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B388A">
        <w:rPr>
          <w:rFonts w:ascii="Arial" w:hAnsi="Arial" w:cs="Arial"/>
          <w:b/>
          <w:sz w:val="20"/>
          <w:szCs w:val="20"/>
        </w:rPr>
        <w:t>H. AYUNTAMIENTO CONSTITUCIONAL DE COLIMA, COL.</w:t>
      </w:r>
    </w:p>
    <w:p w:rsidR="00AB388A" w:rsidRPr="00AB388A" w:rsidRDefault="00AB388A" w:rsidP="00AB388A">
      <w:pPr>
        <w:jc w:val="right"/>
        <w:rPr>
          <w:rFonts w:ascii="Arial" w:hAnsi="Arial" w:cs="Arial"/>
          <w:b/>
          <w:sz w:val="20"/>
          <w:szCs w:val="20"/>
        </w:rPr>
      </w:pPr>
    </w:p>
    <w:p w:rsidR="00AB388A" w:rsidRPr="00AB388A" w:rsidRDefault="00AB388A" w:rsidP="00475570">
      <w:pPr>
        <w:jc w:val="center"/>
        <w:rPr>
          <w:rFonts w:ascii="Arial" w:hAnsi="Arial" w:cs="Arial"/>
          <w:b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REGLAMENTO</w:t>
      </w:r>
      <w:r w:rsidR="004755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AB388A">
        <w:rPr>
          <w:rFonts w:ascii="Arial" w:hAnsi="Arial" w:cs="Arial"/>
          <w:b/>
          <w:sz w:val="20"/>
          <w:szCs w:val="20"/>
        </w:rPr>
        <w:t>PARA LA ELABORACIÓN DE LAS TABLAS DE VALORES UNITARIOS DE TERRENO Y D</w:t>
      </w:r>
      <w:r w:rsidR="005B3F8A">
        <w:rPr>
          <w:rFonts w:ascii="Arial" w:hAnsi="Arial" w:cs="Arial"/>
          <w:b/>
          <w:sz w:val="20"/>
          <w:szCs w:val="20"/>
        </w:rPr>
        <w:t>ECONSTRUCCIÓN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475570">
        <w:rPr>
          <w:rFonts w:ascii="Arial" w:hAnsi="Arial" w:cs="Arial"/>
          <w:sz w:val="20"/>
          <w:szCs w:val="20"/>
        </w:rPr>
        <w:t>ENRIQUE MICHEL RUIZ, Presidente</w:t>
      </w:r>
      <w:r w:rsidRPr="00AB388A">
        <w:rPr>
          <w:rFonts w:ascii="Arial" w:hAnsi="Arial" w:cs="Arial"/>
          <w:sz w:val="20"/>
          <w:szCs w:val="20"/>
        </w:rPr>
        <w:t xml:space="preserve"> Municipal de Colima, a sus habitantes SABED: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Que el H. Cabildo de Colima se ha servido dirigirme el siguiente:</w:t>
      </w:r>
    </w:p>
    <w:p w:rsidR="00475570" w:rsidRDefault="00AB388A" w:rsidP="00AB388A">
      <w:pPr>
        <w:jc w:val="center"/>
        <w:rPr>
          <w:rFonts w:ascii="Arial" w:hAnsi="Arial" w:cs="Arial"/>
          <w:b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ACUERDO</w:t>
      </w:r>
    </w:p>
    <w:p w:rsidR="00AB388A" w:rsidRPr="00AB388A" w:rsidRDefault="00AB388A" w:rsidP="00AB388A">
      <w:pPr>
        <w:jc w:val="center"/>
        <w:rPr>
          <w:rFonts w:ascii="Arial" w:hAnsi="Arial" w:cs="Arial"/>
          <w:b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QUE APRUEBA EL REGLAMENTO PARA LA ELABORACION DE LAS TABLAS DE VALORES UNITARIOS DE TERRENO Y DE CONSTRUCCION DEL MUNICIPIO DE COLIMA.</w:t>
      </w:r>
    </w:p>
    <w:p w:rsidR="00AB388A" w:rsidRPr="00AB388A" w:rsidRDefault="00AB388A" w:rsidP="00AB388A">
      <w:pPr>
        <w:jc w:val="center"/>
        <w:rPr>
          <w:rFonts w:ascii="Arial" w:hAnsi="Arial" w:cs="Arial"/>
          <w:b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EL H. AYUNTAMIENTO CONSTITUCIONAL DE COLIMA, EN EL EJERCICIO DE LA FACULTAD QUE 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388A">
        <w:rPr>
          <w:rFonts w:ascii="Arial" w:hAnsi="Arial" w:cs="Arial"/>
          <w:b/>
          <w:sz w:val="20"/>
          <w:szCs w:val="20"/>
        </w:rPr>
        <w:t>CONFIEREN LOS ARTICULOS 87, FRACCION II DE LA CONSTITUCION POLITICA DEL ESTADO, 45 FRACCION I INCISO A) DE LA LEY DEL MUNICIPIO LIBRE DEL ESTADO DE COLIMA, EN NOMBRE DEL PUEBLO ACUERDA:</w:t>
      </w:r>
    </w:p>
    <w:p w:rsidR="00AB388A" w:rsidRPr="00AB388A" w:rsidRDefault="00475570" w:rsidP="00AB38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</w:t>
      </w:r>
      <w:r w:rsidR="00AB388A" w:rsidRPr="00AB388A">
        <w:rPr>
          <w:rFonts w:ascii="Arial" w:hAnsi="Arial" w:cs="Arial"/>
          <w:b/>
          <w:sz w:val="20"/>
          <w:szCs w:val="20"/>
        </w:rPr>
        <w:t>O: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PRIMERO.-</w:t>
      </w:r>
      <w:r w:rsidRPr="00AB388A">
        <w:rPr>
          <w:rFonts w:ascii="Arial" w:hAnsi="Arial" w:cs="Arial"/>
          <w:sz w:val="20"/>
          <w:szCs w:val="20"/>
        </w:rPr>
        <w:t xml:space="preserve"> Que mediante memorándum No. 02-S-775/2001, suscrito por el C. Secretario del H. Ayuntamiento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 xml:space="preserve">C. Alberto Eloy García </w:t>
      </w:r>
      <w:proofErr w:type="spellStart"/>
      <w:r w:rsidRPr="00AB388A">
        <w:rPr>
          <w:rFonts w:ascii="Arial" w:hAnsi="Arial" w:cs="Arial"/>
          <w:sz w:val="20"/>
          <w:szCs w:val="20"/>
        </w:rPr>
        <w:t>Alcaraz</w:t>
      </w:r>
      <w:proofErr w:type="spellEnd"/>
      <w:r w:rsidRPr="00AB388A">
        <w:rPr>
          <w:rFonts w:ascii="Arial" w:hAnsi="Arial" w:cs="Arial"/>
          <w:sz w:val="20"/>
          <w:szCs w:val="20"/>
        </w:rPr>
        <w:t xml:space="preserve">, turnó a estas </w:t>
      </w:r>
      <w:proofErr w:type="gramStart"/>
      <w:r w:rsidRPr="00AB388A">
        <w:rPr>
          <w:rFonts w:ascii="Arial" w:hAnsi="Arial" w:cs="Arial"/>
          <w:sz w:val="20"/>
          <w:szCs w:val="20"/>
        </w:rPr>
        <w:t>Comisiones ,</w:t>
      </w:r>
      <w:proofErr w:type="gramEnd"/>
      <w:r w:rsidRPr="00AB388A">
        <w:rPr>
          <w:rFonts w:ascii="Arial" w:hAnsi="Arial" w:cs="Arial"/>
          <w:sz w:val="20"/>
          <w:szCs w:val="20"/>
        </w:rPr>
        <w:t xml:space="preserve"> para analizar y atender la petición realizada por el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Tesorero Municipal, C. Salvador Gallardo Ceballos, mediante oficio número 02-T-0186/2001, en la que pone a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consideración del H. Cabildo Municipal, el Reglamento para la Elaboración de las Tablas de Valores Unitarios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de Terreno y de Construcción del Municipio de Colima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SEGUNDO.-</w:t>
      </w:r>
      <w:r w:rsidRPr="00AB388A">
        <w:rPr>
          <w:rFonts w:ascii="Arial" w:hAnsi="Arial" w:cs="Arial"/>
          <w:sz w:val="20"/>
          <w:szCs w:val="20"/>
        </w:rPr>
        <w:t xml:space="preserve"> Que de conformidad con lo establecido por la fracción IV del Artículo 115 de la Constitución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 xml:space="preserve">Política de los Estados Unidos Mexicanos, ordena que </w:t>
      </w:r>
      <w:proofErr w:type="gramStart"/>
      <w:r w:rsidRPr="00AB388A">
        <w:rPr>
          <w:rFonts w:ascii="Arial" w:hAnsi="Arial" w:cs="Arial"/>
          <w:sz w:val="20"/>
          <w:szCs w:val="20"/>
        </w:rPr>
        <w:t>“ los</w:t>
      </w:r>
      <w:proofErr w:type="gramEnd"/>
      <w:r w:rsidRPr="00AB388A">
        <w:rPr>
          <w:rFonts w:ascii="Arial" w:hAnsi="Arial" w:cs="Arial"/>
          <w:sz w:val="20"/>
          <w:szCs w:val="20"/>
        </w:rPr>
        <w:t xml:space="preserve"> Ayuntamientos en el ámbito de su competencia,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propondrán a las legislaturas estatales, las tablas de valores unitarios de suelo y construcción que sirvan de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base para el cobro de las construcciones sobre la propiedad inmobiliaria “</w:t>
      </w:r>
    </w:p>
    <w:p w:rsidR="00AB388A" w:rsidRPr="00A26903" w:rsidRDefault="00AB388A" w:rsidP="00AB388A">
      <w:pPr>
        <w:jc w:val="both"/>
        <w:rPr>
          <w:rFonts w:ascii="Arial" w:hAnsi="Arial" w:cs="Arial"/>
          <w:b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TERCERO.-</w:t>
      </w:r>
      <w:r w:rsidRPr="00AB388A">
        <w:rPr>
          <w:rFonts w:ascii="Arial" w:hAnsi="Arial" w:cs="Arial"/>
          <w:sz w:val="20"/>
          <w:szCs w:val="20"/>
        </w:rPr>
        <w:t xml:space="preserve"> Que el Artículo 87 de la Constitución Política del Estado, en su fracción IV inciso a) señala que los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Municipios administrarán libremente su hacienda, la cual se formará de los rendimientos de los bienes que les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pertenezcan, así como de las contribuciones y otros ingresos que el Congreso del Estado establezca a su favor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y en todo caso:</w:t>
      </w:r>
    </w:p>
    <w:p w:rsidR="00AB388A" w:rsidRPr="00A26903" w:rsidRDefault="00AB388A" w:rsidP="00A269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Percibirán las contribuciones, incluyendo tasas adicionales, que establezca el Estado sobre la propiedad inmobiliaria, de su fraccionamiento, división, consolidación, traslación y mejora así como las que tenga por base el cambio de valor de los inmueble</w:t>
      </w:r>
      <w:r w:rsidR="00A26903">
        <w:rPr>
          <w:rFonts w:ascii="Arial" w:hAnsi="Arial" w:cs="Arial"/>
          <w:sz w:val="20"/>
          <w:szCs w:val="20"/>
        </w:rPr>
        <w:t>s.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lastRenderedPageBreak/>
        <w:t>CUARTO.-</w:t>
      </w:r>
      <w:r w:rsidRPr="00AB388A">
        <w:rPr>
          <w:rFonts w:ascii="Arial" w:hAnsi="Arial" w:cs="Arial"/>
          <w:sz w:val="20"/>
          <w:szCs w:val="20"/>
        </w:rPr>
        <w:t xml:space="preserve"> Que la Ley de Catastro publicada con fecha 29 de septiembre del año 2001, en el Periódico Oficial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 xml:space="preserve">El Estado de Colima mediante Decreto número 142, refiriendo en su </w:t>
      </w:r>
      <w:r w:rsidR="00A26903" w:rsidRPr="00AB388A"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Segundo transitorio, que los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Ayuntamientos dispondrán de 30 días naturales, contados a partir de la entrada en vigor del presente Decreto,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para aprobar el reglamento a que se refiere la fracción I del Artículo 10 de la misma ley, que a la letra dice;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Corresponde a los Ayuntamientos, aprobar el reglamento para la elaboración de las tablas de valores unitarios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de terreno y de construcción del municipio.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QUINTO.-</w:t>
      </w:r>
      <w:r w:rsidRPr="00AB388A">
        <w:rPr>
          <w:rFonts w:ascii="Arial" w:hAnsi="Arial" w:cs="Arial"/>
          <w:sz w:val="20"/>
          <w:szCs w:val="20"/>
        </w:rPr>
        <w:t xml:space="preserve"> Que una de las principales preocupaciones de esta Administración Municipal, es la de actualizar y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adecuar el marco jurídico en el cual se contempla todos aquellos Reglamentos y ordenamientos de carácter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municipal.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SEXTO.-</w:t>
      </w:r>
      <w:r w:rsidRPr="00AB388A">
        <w:rPr>
          <w:rFonts w:ascii="Arial" w:hAnsi="Arial" w:cs="Arial"/>
          <w:sz w:val="20"/>
          <w:szCs w:val="20"/>
        </w:rPr>
        <w:t xml:space="preserve"> Que el acelerado crecimiento de los centros de población demanda contar con una operación optima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 xml:space="preserve">de la función catastral, exigiendo la incorporación de sus servicios a una constante y </w:t>
      </w:r>
      <w:r>
        <w:rPr>
          <w:rFonts w:ascii="Arial" w:hAnsi="Arial" w:cs="Arial"/>
          <w:sz w:val="20"/>
          <w:szCs w:val="20"/>
        </w:rPr>
        <w:t xml:space="preserve">permanente </w:t>
      </w:r>
      <w:r w:rsidRPr="00AB388A">
        <w:rPr>
          <w:rFonts w:ascii="Arial" w:hAnsi="Arial" w:cs="Arial"/>
          <w:sz w:val="20"/>
          <w:szCs w:val="20"/>
        </w:rPr>
        <w:t>modernización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Las Comisiones de Gobernación y Reglamentos, y Hacienda Municipal, habiendo analizado y estudiado el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proyecto del Nuevo Reglamento para la elaboración de las Tablas de Valores Unitarios de Terreno y de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Construcción del Municipio de Colima, con fundamento en lo dispuesto por los Artículos 45 fracción I inciso a),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47 fracción I inciso f), 116 fracción I de la Ley del Municipio Libre del Estado de Colima, emiten el siguiente;</w:t>
      </w:r>
    </w:p>
    <w:p w:rsidR="00AB388A" w:rsidRPr="00AB388A" w:rsidRDefault="00475570" w:rsidP="00AB38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ACUERD</w:t>
      </w:r>
      <w:r w:rsidR="00AB388A" w:rsidRPr="00AB388A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: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UNICO.-</w:t>
      </w:r>
      <w:r w:rsidRPr="00AB388A">
        <w:rPr>
          <w:rFonts w:ascii="Arial" w:hAnsi="Arial" w:cs="Arial"/>
          <w:sz w:val="20"/>
          <w:szCs w:val="20"/>
        </w:rPr>
        <w:t xml:space="preserve"> Es de aprobarse y se aprueba el Reglamento para la Elaboración de las Tablas de Valores Unitarios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de Terreno y de Construcción del Municipio de Colima, para quedar como sigue: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Reglamento para la Elaboración de las Tablas de Valores Unitarios de Terreno y de Construcción del Municipio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de Colima</w:t>
      </w:r>
    </w:p>
    <w:p w:rsidR="00AB388A" w:rsidRPr="00AB388A" w:rsidRDefault="00AB388A" w:rsidP="00475570">
      <w:pPr>
        <w:jc w:val="center"/>
        <w:rPr>
          <w:rFonts w:ascii="Arial" w:hAnsi="Arial" w:cs="Arial"/>
          <w:b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CAPITULO I</w:t>
      </w:r>
      <w:r w:rsidR="004755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AB388A">
        <w:rPr>
          <w:rFonts w:ascii="Arial" w:hAnsi="Arial" w:cs="Arial"/>
          <w:b/>
          <w:sz w:val="20"/>
          <w:szCs w:val="20"/>
        </w:rPr>
        <w:t>DE LAS DISPOSICIONES GENERALES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Artículo 1º.-</w:t>
      </w:r>
      <w:r w:rsidRPr="00AB388A">
        <w:rPr>
          <w:rFonts w:ascii="Arial" w:hAnsi="Arial" w:cs="Arial"/>
          <w:sz w:val="20"/>
          <w:szCs w:val="20"/>
        </w:rPr>
        <w:t xml:space="preserve"> Las disposiciones del presente Reglamento son de orden público, y con el fin de proveer y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observar las normas aplicables en la elaboración de las tablas de valores unitarios de terreno y de construcción.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Artículo 2º.-</w:t>
      </w:r>
      <w:r w:rsidRPr="00AB388A">
        <w:rPr>
          <w:rFonts w:ascii="Arial" w:hAnsi="Arial" w:cs="Arial"/>
          <w:sz w:val="20"/>
          <w:szCs w:val="20"/>
        </w:rPr>
        <w:t xml:space="preserve"> Cuando en este Reglamento se haga mención de la Ley se entenderá como la Ley de Catastro del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Estado de Colima, cuando se haga referencia a la Dirección, se entenderá como la Dirección de Catastro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Municipal del Ayuntamiento de Colima.</w:t>
      </w:r>
    </w:p>
    <w:p w:rsidR="00AB388A" w:rsidRPr="00AB388A" w:rsidRDefault="00AB388A" w:rsidP="00475570">
      <w:pPr>
        <w:jc w:val="center"/>
        <w:rPr>
          <w:rFonts w:ascii="Arial" w:hAnsi="Arial" w:cs="Arial"/>
          <w:b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CAPITULO II</w:t>
      </w:r>
      <w:r w:rsidR="004755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B388A">
        <w:rPr>
          <w:rFonts w:ascii="Arial" w:hAnsi="Arial" w:cs="Arial"/>
          <w:b/>
          <w:sz w:val="20"/>
          <w:szCs w:val="20"/>
        </w:rPr>
        <w:t>DE LOS CRITERIOS Y CONSIDERANDOS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388A">
        <w:rPr>
          <w:rFonts w:ascii="Arial" w:hAnsi="Arial" w:cs="Arial"/>
          <w:b/>
          <w:sz w:val="20"/>
          <w:szCs w:val="20"/>
        </w:rPr>
        <w:t>APLICABLES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Artículo 3º</w:t>
      </w:r>
      <w:r w:rsidRPr="00AB388A">
        <w:rPr>
          <w:rFonts w:ascii="Arial" w:hAnsi="Arial" w:cs="Arial"/>
          <w:sz w:val="20"/>
          <w:szCs w:val="20"/>
        </w:rPr>
        <w:t>. Los criterios aplicables para la formación de los valores unitarios serán en base a los siguientes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puntos.</w:t>
      </w:r>
    </w:p>
    <w:p w:rsidR="00AB388A" w:rsidRDefault="00AB388A" w:rsidP="00A2690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Los valores que se propongan de terreno y de construcción serán por metro cuadrad</w:t>
      </w:r>
      <w:r w:rsidR="00A26903">
        <w:rPr>
          <w:rFonts w:ascii="Arial" w:hAnsi="Arial" w:cs="Arial"/>
          <w:sz w:val="20"/>
          <w:szCs w:val="20"/>
        </w:rPr>
        <w:t>o.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 xml:space="preserve">Las tablas de valores unitarios de terreno para predios urbanos, se hará por metro cuadrado de superficie aplicable a la calle en que se ubique, considerando los servicios con que esta cuente, como son: tipo de pavimento, banqueta, red de agua potable, red de </w:t>
      </w:r>
      <w:r w:rsidRPr="00A26903">
        <w:rPr>
          <w:rFonts w:ascii="Arial" w:hAnsi="Arial" w:cs="Arial"/>
          <w:sz w:val="20"/>
          <w:szCs w:val="20"/>
        </w:rPr>
        <w:lastRenderedPageBreak/>
        <w:t>energía eléctrica, red de drenaje, alumbrado público, teléfono, servicios de limpia, vigilancia, tránsito, calidad de las construcciones, edificaciones públicas cercanas, intensidad y calidad comercial, industrial, habitacional en sus distintos tipos, centros religiosos, centros escolares y demás indicadores de grado de desarroll</w:t>
      </w:r>
      <w:r w:rsidR="00A26903">
        <w:rPr>
          <w:rFonts w:ascii="Arial" w:hAnsi="Arial" w:cs="Arial"/>
          <w:sz w:val="20"/>
          <w:szCs w:val="20"/>
        </w:rPr>
        <w:t>o.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A26903" w:rsidRPr="00A26903" w:rsidRDefault="00AB388A" w:rsidP="00A2690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La tabla de valores unitarios de construcción, se formulara por metro cuadrado de construcción, entendiéndose esta como superficie cubierta considerando su tipo, calidad y estado de conserv</w:t>
      </w:r>
      <w:r w:rsidR="00A26903">
        <w:rPr>
          <w:rFonts w:ascii="Arial" w:hAnsi="Arial" w:cs="Arial"/>
          <w:sz w:val="20"/>
          <w:szCs w:val="20"/>
        </w:rPr>
        <w:t>ación.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las construcciones se clasifican por su tipo como: antiguo, moderno, regional e industrial.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Antiguo, aquellas construcciones que fueron construidas empleando materiales y métodos de construcción anteriores a 1950,y que no hayan sido renovadas empleando materiales y métodos de construcción posteriores al año señalado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Moderno, aquellas construcciones que fueron construidas con materiales y métodos de construcción posteriores a 1950, o aquellas que habiendo sido construidas con anterioridad, han sido renovadas con estos métodos.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Regional, aquellas edificaciones cuyos elementos constructivos sean con características especificas de una población en particular y elaboradas líricamente por sus propios habitantes.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Industrial, aquellas edificaciones construidas utilizando estructuras y techumbres livianas.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Pr="00A26903" w:rsidRDefault="00AB388A" w:rsidP="00A269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las construcciones se clasifican atendiendo a su calidad los acabados y materiales utilizados en ellas, tales como:</w:t>
      </w:r>
    </w:p>
    <w:p w:rsidR="00A26903" w:rsidRDefault="00AB388A" w:rsidP="00475570">
      <w:pPr>
        <w:ind w:left="567"/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a. Estructuras</w:t>
      </w:r>
    </w:p>
    <w:p w:rsidR="00AB388A" w:rsidRPr="00AB388A" w:rsidRDefault="00AB388A" w:rsidP="00475570">
      <w:pPr>
        <w:ind w:left="567"/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b. Complementos de estructuras</w:t>
      </w:r>
    </w:p>
    <w:p w:rsidR="00AB388A" w:rsidRPr="00AB388A" w:rsidRDefault="00AB388A" w:rsidP="00475570">
      <w:pPr>
        <w:ind w:left="567"/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c. Instalaciones básicas y especiales</w:t>
      </w:r>
    </w:p>
    <w:p w:rsidR="00AB388A" w:rsidRPr="00AB388A" w:rsidRDefault="00AB388A" w:rsidP="00475570">
      <w:pPr>
        <w:ind w:left="567"/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d. Recubrimientos interiores y exteriores</w:t>
      </w:r>
    </w:p>
    <w:p w:rsidR="00AB388A" w:rsidRPr="00AB388A" w:rsidRDefault="00AB388A" w:rsidP="00475570">
      <w:pPr>
        <w:ind w:left="567"/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e. Complementos</w:t>
      </w:r>
    </w:p>
    <w:p w:rsidR="00AB388A" w:rsidRPr="00AB388A" w:rsidRDefault="00AB388A" w:rsidP="00475570">
      <w:pPr>
        <w:ind w:left="567"/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f. Pisos</w:t>
      </w:r>
    </w:p>
    <w:p w:rsidR="00AB388A" w:rsidRPr="00AB388A" w:rsidRDefault="00AB388A" w:rsidP="00475570">
      <w:pPr>
        <w:ind w:left="567"/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g. Muebles sanitarios y gabinetes y se clasifican en:</w:t>
      </w:r>
    </w:p>
    <w:p w:rsidR="00AB388A" w:rsidRDefault="00AB388A" w:rsidP="00A269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Económico.- aquellas construcciones, en las cuales se emplean materiales de bajo costo, acabados muy sencillos o exentas de acabados.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26903" w:rsidRDefault="00AB388A" w:rsidP="00A269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Medio.- aquellas construcciones en las cuales se emplean materiales de buena calidad con terminados aceptables en cuanto a control de calidad se refiere.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26903" w:rsidRPr="00A26903" w:rsidRDefault="00AB388A" w:rsidP="00A269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Superior.- aquellas construcciones en las cuales se emplean materiales de muy buena calidad, acabados con accesorios especiales y terminados con buen control de calidad en la mayoría de sus partes.</w:t>
      </w:r>
    </w:p>
    <w:p w:rsidR="00AB388A" w:rsidRDefault="00AB388A" w:rsidP="00A269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lastRenderedPageBreak/>
        <w:t xml:space="preserve">Lujo.- aquellas construcciones en las cuales se emplean materiales de </w:t>
      </w:r>
      <w:proofErr w:type="gramStart"/>
      <w:r w:rsidRPr="00A26903">
        <w:rPr>
          <w:rFonts w:ascii="Arial" w:hAnsi="Arial" w:cs="Arial"/>
          <w:sz w:val="20"/>
          <w:szCs w:val="20"/>
        </w:rPr>
        <w:t>optima</w:t>
      </w:r>
      <w:proofErr w:type="gramEnd"/>
      <w:r w:rsidRPr="00A26903">
        <w:rPr>
          <w:rFonts w:ascii="Arial" w:hAnsi="Arial" w:cs="Arial"/>
          <w:sz w:val="20"/>
          <w:szCs w:val="20"/>
        </w:rPr>
        <w:t xml:space="preserve"> calidad, acabados de elevado costo y ejecución, con muy buen control de calidad en todas sus partes tomando en cuenta los accesorios e instalaciones especiales.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9E6D83">
      <w:pPr>
        <w:pStyle w:val="Prrafodelista"/>
        <w:numPr>
          <w:ilvl w:val="0"/>
          <w:numId w:val="12"/>
        </w:numPr>
        <w:ind w:left="284" w:firstLine="142"/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Las construcciones pueden presentar estados de conservación bueno, regular o malo.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Bueno, cuando ésta tiene sólo el desgaste normal ocasionado por el uso, haciendo lucir a la edificación en condiciones decorosas y se mantiene en buenas condiciones.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Regular, cuando la construcción mantiene a la edificación en funcionamiento, pero que al mismo tiempo ésta manifiesta deterioro.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Malo, cuando la construcción carece por completo de los elementos mínimos de mantenimiento y se encuentra en estado deplorable, pero que a la vez conserva las características esenciales que hacen necesaria su rehabilitación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Pr="00A52F77" w:rsidRDefault="00AB388A" w:rsidP="00A2690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En lo que se refiere a predios rústicos el valor unitario será por hectárea tomando en cuenta las condiciones y características del medio ambiente que lo rodean, clasificándose e</w:t>
      </w:r>
      <w:r w:rsidR="00A26903">
        <w:rPr>
          <w:rFonts w:ascii="Arial" w:hAnsi="Arial" w:cs="Arial"/>
          <w:sz w:val="20"/>
          <w:szCs w:val="20"/>
        </w:rPr>
        <w:t>n:</w:t>
      </w:r>
    </w:p>
    <w:p w:rsidR="00A52F77" w:rsidRPr="00A26903" w:rsidRDefault="00A52F77" w:rsidP="00A52F77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Riego, terreno rústico que dispone de agua suficiente para la nutrición de sus cultivos.</w:t>
      </w:r>
    </w:p>
    <w:p w:rsidR="00A52F77" w:rsidRPr="00A26903" w:rsidRDefault="00A52F77" w:rsidP="00A52F7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Humedad, terreno rústico que por su naturaleza esté impregnado de agua.</w:t>
      </w:r>
    </w:p>
    <w:p w:rsidR="00A26903" w:rsidRPr="00A26903" w:rsidRDefault="00A26903" w:rsidP="00A2690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Temporal, las tierras que son aprovechadas para el cultivo y demás actividades agropecuarias, solo en el temporal de lluvias.</w:t>
      </w:r>
    </w:p>
    <w:p w:rsidR="00A52F77" w:rsidRPr="00A26903" w:rsidRDefault="00A52F77" w:rsidP="00A52F7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Agostadero, su principal explotación es el pastoreo de ganado y con una topografía poco propicia para la explotación agrícola.</w:t>
      </w:r>
    </w:p>
    <w:p w:rsidR="00A52F77" w:rsidRPr="00A26903" w:rsidRDefault="00A52F77" w:rsidP="00A52F7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Default="00AB388A" w:rsidP="00A2690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Cerril, son terrenos con topografía irregular y accidentada y con bajo potencial de aprovechamiento en actividades agropecuarias.</w:t>
      </w:r>
    </w:p>
    <w:p w:rsidR="00A52F77" w:rsidRPr="00A26903" w:rsidRDefault="00A52F77" w:rsidP="00A52F7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B388A" w:rsidRPr="00A26903" w:rsidRDefault="00AB388A" w:rsidP="00A2690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26903">
        <w:rPr>
          <w:rFonts w:ascii="Arial" w:hAnsi="Arial" w:cs="Arial"/>
          <w:sz w:val="20"/>
          <w:szCs w:val="20"/>
        </w:rPr>
        <w:t>Erial, terreno rústico escabroso con nulo aprovechamiento para actividades agropecuarias.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Artículo 4.-</w:t>
      </w:r>
      <w:r w:rsidRPr="00AB388A">
        <w:rPr>
          <w:rFonts w:ascii="Arial" w:hAnsi="Arial" w:cs="Arial"/>
          <w:sz w:val="20"/>
          <w:szCs w:val="20"/>
        </w:rPr>
        <w:t xml:space="preserve"> La propuesta de tabla de valores unitarios de predio urbano deberá presentarse en formato de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lista, conteniendo los siguientes datos: clave del municipio, de la población, de la zona catastral, de la manzana,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valores unitarios de calle, actuales y propuestos que deberán marcarse por su código de ubicación y el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comparativo en porcentaje del incremento o decremento.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Artículo 5.-</w:t>
      </w:r>
      <w:r w:rsidRPr="00AB388A">
        <w:rPr>
          <w:rFonts w:ascii="Arial" w:hAnsi="Arial" w:cs="Arial"/>
          <w:sz w:val="20"/>
          <w:szCs w:val="20"/>
        </w:rPr>
        <w:t xml:space="preserve"> La propuesta de tabla de valores unitarios de predios rústicos deberá presentarse en formato de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lista, conteniendo los siguientes datos: clasificación, valor actual y propuesto y el comparativo en porcentaje del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incremento o decremento.</w:t>
      </w:r>
    </w:p>
    <w:p w:rsid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Artículo 6.-</w:t>
      </w:r>
      <w:r w:rsidRPr="00AB388A">
        <w:rPr>
          <w:rFonts w:ascii="Arial" w:hAnsi="Arial" w:cs="Arial"/>
          <w:sz w:val="20"/>
          <w:szCs w:val="20"/>
        </w:rPr>
        <w:t xml:space="preserve"> La propuesta de tabla de valores unitarios de construcción deberá presentarse en formato de lista,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conteniendo los siguientes datos: tipo, calidad y estado de conservación, valor actual y propuesto y el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comparativo en porcentaje del incremento o decremento.</w:t>
      </w:r>
    </w:p>
    <w:p w:rsidR="00A52F77" w:rsidRPr="00AB388A" w:rsidRDefault="00A52F77" w:rsidP="00AB388A">
      <w:pPr>
        <w:jc w:val="both"/>
        <w:rPr>
          <w:rFonts w:ascii="Arial" w:hAnsi="Arial" w:cs="Arial"/>
          <w:sz w:val="20"/>
          <w:szCs w:val="20"/>
        </w:rPr>
      </w:pPr>
    </w:p>
    <w:p w:rsidR="00AB388A" w:rsidRPr="005B3F8A" w:rsidRDefault="00475570" w:rsidP="00AB388A">
      <w:pPr>
        <w:jc w:val="center"/>
        <w:rPr>
          <w:rFonts w:ascii="Arial" w:hAnsi="Arial" w:cs="Arial"/>
          <w:b/>
          <w:sz w:val="20"/>
          <w:szCs w:val="20"/>
        </w:rPr>
      </w:pPr>
      <w:r w:rsidRPr="005B3F8A">
        <w:rPr>
          <w:rFonts w:ascii="Arial" w:hAnsi="Arial" w:cs="Arial"/>
          <w:b/>
          <w:sz w:val="20"/>
          <w:szCs w:val="20"/>
        </w:rPr>
        <w:lastRenderedPageBreak/>
        <w:t>TRANSITORIO</w:t>
      </w:r>
      <w:r w:rsidR="00AB388A" w:rsidRPr="005B3F8A">
        <w:rPr>
          <w:rFonts w:ascii="Arial" w:hAnsi="Arial" w:cs="Arial"/>
          <w:b/>
          <w:sz w:val="20"/>
          <w:szCs w:val="20"/>
        </w:rPr>
        <w:t>S</w:t>
      </w:r>
      <w:r w:rsidRPr="005B3F8A">
        <w:rPr>
          <w:rFonts w:ascii="Arial" w:hAnsi="Arial" w:cs="Arial"/>
          <w:b/>
          <w:sz w:val="20"/>
          <w:szCs w:val="20"/>
        </w:rPr>
        <w:t>: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b/>
          <w:sz w:val="20"/>
          <w:szCs w:val="20"/>
        </w:rPr>
        <w:t>UNICO.-</w:t>
      </w:r>
      <w:r w:rsidRPr="00AB388A">
        <w:rPr>
          <w:rFonts w:ascii="Arial" w:hAnsi="Arial" w:cs="Arial"/>
          <w:sz w:val="20"/>
          <w:szCs w:val="20"/>
        </w:rPr>
        <w:t xml:space="preserve"> El presente Reglamento entrará en vigor a partir del día siguiente al de su publicación en el Periódico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Oficial “El Estado de Colima”.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Por tanto, con fundamento en lo dispuesto por el Artículo 47, fracción I, incisos a) y f) de la Ley del Municipio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Libre del Estado de Colima, publíquese, en el Periódico Oficial, « El Estado de Colima».</w:t>
      </w:r>
    </w:p>
    <w:p w:rsidR="00AB388A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Dado en el Salón de Cabildos del Honorable Ayuntamiento, en la Ciudad de Colima, Colima a los 29 días del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mes de octubre del año 2001.</w:t>
      </w:r>
    </w:p>
    <w:p w:rsidR="00B81553" w:rsidRPr="00AB388A" w:rsidRDefault="00AB388A" w:rsidP="00AB388A">
      <w:pPr>
        <w:jc w:val="both"/>
        <w:rPr>
          <w:rFonts w:ascii="Arial" w:hAnsi="Arial" w:cs="Arial"/>
          <w:sz w:val="20"/>
          <w:szCs w:val="20"/>
        </w:rPr>
      </w:pPr>
      <w:r w:rsidRPr="00AB388A">
        <w:rPr>
          <w:rFonts w:ascii="Arial" w:hAnsi="Arial" w:cs="Arial"/>
          <w:sz w:val="20"/>
          <w:szCs w:val="20"/>
        </w:rPr>
        <w:t>LA COMISION DE GOBERNACION Y REGLAMENTOS, C. ENRIQUE MICHEL RUIZ, Presidente. Rúbrica. C.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MARCO ANTONIO GARCÍA TORO, Secretario. Rúbrica. C. JORGE VAZQUEZ CHAVEZ, Secretario. Rúbrica.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LA COMISION DE HACIENDA MUNICIPAL, C. JOAQUIN ALVAREZ NERI, Presidente. Rúbrica. C.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RAYMUNDO GONZALEZ SALDAÑA, Secretario. Rúbrica. GONZALO MENDEZ ORTEGA, Secretario. Rúbrica.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ROBERTO HUERTA DUARTE, Secretario. Rúbrica. MA. TERESA MARQUEZ GOMEZ, Secretario. Rúbrica. C.</w:t>
      </w:r>
      <w:r>
        <w:rPr>
          <w:rFonts w:ascii="Arial" w:hAnsi="Arial" w:cs="Arial"/>
          <w:sz w:val="20"/>
          <w:szCs w:val="20"/>
        </w:rPr>
        <w:t xml:space="preserve"> </w:t>
      </w:r>
      <w:r w:rsidRPr="00AB388A">
        <w:rPr>
          <w:rFonts w:ascii="Arial" w:hAnsi="Arial" w:cs="Arial"/>
          <w:sz w:val="20"/>
          <w:szCs w:val="20"/>
        </w:rPr>
        <w:t>MARCO ANTONIO GARCIA TORO, Síndico Municipal. Rúbrica.</w:t>
      </w:r>
    </w:p>
    <w:sectPr w:rsidR="00B81553" w:rsidRPr="00AB388A" w:rsidSect="00B81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3A8"/>
    <w:multiLevelType w:val="hybridMultilevel"/>
    <w:tmpl w:val="682E0F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290"/>
    <w:multiLevelType w:val="hybridMultilevel"/>
    <w:tmpl w:val="6FEE81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400D"/>
    <w:multiLevelType w:val="hybridMultilevel"/>
    <w:tmpl w:val="DD1408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07FC"/>
    <w:multiLevelType w:val="hybridMultilevel"/>
    <w:tmpl w:val="D6D8A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7903"/>
    <w:multiLevelType w:val="hybridMultilevel"/>
    <w:tmpl w:val="6512D0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27B05"/>
    <w:multiLevelType w:val="hybridMultilevel"/>
    <w:tmpl w:val="8730DA1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74EF0"/>
    <w:multiLevelType w:val="hybridMultilevel"/>
    <w:tmpl w:val="D49284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7D3"/>
    <w:multiLevelType w:val="hybridMultilevel"/>
    <w:tmpl w:val="DCCE82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0DDB"/>
    <w:multiLevelType w:val="hybridMultilevel"/>
    <w:tmpl w:val="6BA07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28AE"/>
    <w:multiLevelType w:val="hybridMultilevel"/>
    <w:tmpl w:val="DEC604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5F1E"/>
    <w:multiLevelType w:val="hybridMultilevel"/>
    <w:tmpl w:val="E03E52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605F"/>
    <w:multiLevelType w:val="hybridMultilevel"/>
    <w:tmpl w:val="AE463164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23AE5"/>
    <w:multiLevelType w:val="hybridMultilevel"/>
    <w:tmpl w:val="589015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86005"/>
    <w:multiLevelType w:val="hybridMultilevel"/>
    <w:tmpl w:val="D4C89D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1C90"/>
    <w:multiLevelType w:val="hybridMultilevel"/>
    <w:tmpl w:val="6F081E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7166A"/>
    <w:multiLevelType w:val="hybridMultilevel"/>
    <w:tmpl w:val="9C4EC5B0"/>
    <w:lvl w:ilvl="0" w:tplc="0BD2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36ED9"/>
    <w:multiLevelType w:val="hybridMultilevel"/>
    <w:tmpl w:val="8FFC2B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819A5"/>
    <w:multiLevelType w:val="hybridMultilevel"/>
    <w:tmpl w:val="2098B3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16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AB388A"/>
    <w:rsid w:val="00155B0E"/>
    <w:rsid w:val="00475570"/>
    <w:rsid w:val="005B3F8A"/>
    <w:rsid w:val="008B4D88"/>
    <w:rsid w:val="009E6D83"/>
    <w:rsid w:val="00A26903"/>
    <w:rsid w:val="00A52F77"/>
    <w:rsid w:val="00AB388A"/>
    <w:rsid w:val="00AE0AAA"/>
    <w:rsid w:val="00B81553"/>
    <w:rsid w:val="00F5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1752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ELOY</cp:lastModifiedBy>
  <cp:revision>5</cp:revision>
  <dcterms:created xsi:type="dcterms:W3CDTF">2013-02-26T17:26:00Z</dcterms:created>
  <dcterms:modified xsi:type="dcterms:W3CDTF">2013-06-21T17:43:00Z</dcterms:modified>
</cp:coreProperties>
</file>