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F2" w:rsidRPr="00302FF4" w:rsidRDefault="00765CF2" w:rsidP="00765CF2">
      <w:pPr>
        <w:jc w:val="both"/>
        <w:rPr>
          <w:rFonts w:ascii="Arial" w:hAnsi="Arial" w:cs="Arial"/>
          <w:b/>
          <w:sz w:val="20"/>
          <w:szCs w:val="20"/>
        </w:rPr>
      </w:pPr>
      <w:r w:rsidRPr="00302FF4">
        <w:rPr>
          <w:rFonts w:ascii="Arial" w:hAnsi="Arial" w:cs="Arial"/>
          <w:b/>
          <w:sz w:val="20"/>
          <w:szCs w:val="20"/>
        </w:rPr>
        <w:t>Tomo 91 Colima, Col., Sábado 18 de Febrero del año 2006; Núm. 07; pág. 150.</w:t>
      </w:r>
    </w:p>
    <w:p w:rsidR="00302FF4" w:rsidRPr="00302FF4" w:rsidRDefault="00302FF4" w:rsidP="00765CF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65CF2" w:rsidRDefault="00765CF2" w:rsidP="00302FF4">
      <w:pPr>
        <w:jc w:val="right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DEL GOBIERNO MUNICIPAL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H. AYUNTAMIENTO CONSTITUCIONAL DE COLIMA, COL.</w:t>
      </w:r>
    </w:p>
    <w:p w:rsidR="00765CF2" w:rsidRPr="00765CF2" w:rsidRDefault="00765CF2" w:rsidP="00765CF2">
      <w:pPr>
        <w:jc w:val="right"/>
        <w:rPr>
          <w:rFonts w:ascii="Arial" w:hAnsi="Arial" w:cs="Arial"/>
          <w:b/>
          <w:sz w:val="20"/>
          <w:szCs w:val="20"/>
        </w:rPr>
      </w:pPr>
    </w:p>
    <w:p w:rsidR="00765CF2" w:rsidRPr="00765CF2" w:rsidRDefault="00765CF2" w:rsidP="00302FF4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REGLAMENTO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INTERNO PARA LA COMISIÓN CONSULTIVA DE DESARROLLO URBANO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5CF2">
        <w:rPr>
          <w:rFonts w:ascii="Arial" w:hAnsi="Arial" w:cs="Arial"/>
          <w:b/>
          <w:sz w:val="20"/>
          <w:szCs w:val="20"/>
        </w:rPr>
        <w:t>MUNICIPIO DE COLIMA.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545934">
        <w:rPr>
          <w:rFonts w:ascii="Arial" w:hAnsi="Arial" w:cs="Arial"/>
          <w:sz w:val="20"/>
          <w:szCs w:val="20"/>
        </w:rPr>
        <w:t>C.P. LEONCIO A. MORAN SANCHEZ, Presidente</w:t>
      </w:r>
      <w:r w:rsidRPr="00765CF2">
        <w:rPr>
          <w:rFonts w:ascii="Arial" w:hAnsi="Arial" w:cs="Arial"/>
          <w:sz w:val="20"/>
          <w:szCs w:val="20"/>
        </w:rPr>
        <w:t xml:space="preserve"> Municipal de Colima, con las facultades que me otorga la Ley del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Municipio Libre en su Artículo 47, Fracción I, inciso a), a sus habitantes hace saber: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sz w:val="20"/>
          <w:szCs w:val="20"/>
        </w:rPr>
        <w:t>Que en Sesión Ordinaria celebrada el 30 de enero de 2006, el Honorable Cabildo Municipal de Colima aprobó por</w:t>
      </w:r>
      <w:r>
        <w:rPr>
          <w:rFonts w:ascii="Arial" w:hAnsi="Arial" w:cs="Arial"/>
          <w:sz w:val="20"/>
          <w:szCs w:val="20"/>
        </w:rPr>
        <w:t xml:space="preserve"> unanimidad el siguiente</w:t>
      </w:r>
      <w:r w:rsidRPr="00765CF2">
        <w:rPr>
          <w:rFonts w:ascii="Arial" w:hAnsi="Arial" w:cs="Arial"/>
          <w:sz w:val="20"/>
          <w:szCs w:val="20"/>
        </w:rPr>
        <w:t>:</w:t>
      </w:r>
    </w:p>
    <w:p w:rsidR="00765CF2" w:rsidRPr="00765CF2" w:rsidRDefault="00302FF4" w:rsidP="00765C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ACUERD</w:t>
      </w:r>
      <w:r w:rsidR="00765CF2" w:rsidRPr="00765CF2">
        <w:rPr>
          <w:rFonts w:ascii="Arial" w:hAnsi="Arial" w:cs="Arial"/>
          <w:b/>
          <w:sz w:val="20"/>
          <w:szCs w:val="20"/>
        </w:rPr>
        <w:t>O: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PRIMERO:</w:t>
      </w:r>
      <w:r w:rsidRPr="00765CF2">
        <w:rPr>
          <w:rFonts w:ascii="Arial" w:hAnsi="Arial" w:cs="Arial"/>
          <w:sz w:val="20"/>
          <w:szCs w:val="20"/>
        </w:rPr>
        <w:t xml:space="preserve"> Es de aprobarse y se aprueba El Reglamento Interno para la Comisión Consultiva de Desarrollo Urbano del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Municipio de Colima, para quedar como sigue:</w:t>
      </w:r>
    </w:p>
    <w:p w:rsidR="00765CF2" w:rsidRPr="00765CF2" w:rsidRDefault="00765CF2" w:rsidP="00765CF2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REGLAMENTO INTERNO PARA LA COMISION CONSULTIVA DE DESARROLLO URBANO DEL MUNICIPIO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65CF2">
        <w:rPr>
          <w:rFonts w:ascii="Arial" w:hAnsi="Arial" w:cs="Arial"/>
          <w:b/>
          <w:sz w:val="20"/>
          <w:szCs w:val="20"/>
        </w:rPr>
        <w:t>DE COLIMA.</w:t>
      </w:r>
    </w:p>
    <w:p w:rsidR="00765CF2" w:rsidRPr="00765CF2" w:rsidRDefault="00765CF2" w:rsidP="00765CF2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ANTECEDENTES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sz w:val="20"/>
          <w:szCs w:val="20"/>
        </w:rPr>
        <w:t>En sesión ordinaria del H. Cabildo Constitucional de Colima, celebrada el día 11 de marzo de 1995, se aprobó la creación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de la "COMISIÓN DE DESARROLLO URBANO DEL MUNICIPIO DE COLIMA", quedando debidamente integrada el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día 21 de julio de 1995, en los términos del artículo 30 de la Ley de Asentamientos Humanos del Estado de Colima,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y con el fin de normar su funcionamiento, se expide el presente Reglamento Interno, tal y como lo establece el artículo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32 de la mencionada Ley.</w:t>
      </w:r>
    </w:p>
    <w:p w:rsidR="00765CF2" w:rsidRPr="00765CF2" w:rsidRDefault="00765CF2" w:rsidP="00302FF4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CAPITULO I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DISPOSICIONES GENERALES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1º.-</w:t>
      </w:r>
      <w:r w:rsidRPr="00765CF2">
        <w:rPr>
          <w:rFonts w:ascii="Arial" w:hAnsi="Arial" w:cs="Arial"/>
          <w:sz w:val="20"/>
          <w:szCs w:val="20"/>
        </w:rPr>
        <w:t xml:space="preserve"> Las disposiciones del presente Reglamento Interno tienen por objeto regular la organización y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funcionamiento de la Comisión Consultiva de Desarrollo Urbano del Municipio de Colima, a efecto de integrar la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participación ciudadana en la operación del desarrollo Urbano.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2º.-</w:t>
      </w:r>
      <w:r w:rsidRPr="00765CF2">
        <w:rPr>
          <w:rFonts w:ascii="Arial" w:hAnsi="Arial" w:cs="Arial"/>
          <w:sz w:val="20"/>
          <w:szCs w:val="20"/>
        </w:rPr>
        <w:t xml:space="preserve"> Para los efectos de este Reglamento se entenderá por:</w:t>
      </w:r>
    </w:p>
    <w:p w:rsidR="00AF06C6" w:rsidRDefault="00AF06C6" w:rsidP="00AF0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</w:t>
      </w:r>
      <w:r w:rsidR="00765CF2" w:rsidRPr="00AF06C6">
        <w:rPr>
          <w:rFonts w:ascii="Arial" w:hAnsi="Arial" w:cs="Arial"/>
          <w:sz w:val="20"/>
          <w:szCs w:val="20"/>
        </w:rPr>
        <w:t>OMISIÓN: A la Comisión Consultiva de Desarrollo Urbano del Municipio de Colima</w:t>
      </w:r>
      <w:r w:rsidR="00765CF2" w:rsidRPr="00AF06C6">
        <w:rPr>
          <w:rFonts w:ascii="Arial" w:hAnsi="Arial" w:cs="Arial"/>
          <w:b/>
          <w:sz w:val="20"/>
          <w:szCs w:val="20"/>
        </w:rPr>
        <w:t>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AF06C6" w:rsidP="00AF0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="00765CF2" w:rsidRPr="00AF06C6">
        <w:rPr>
          <w:rFonts w:ascii="Arial" w:hAnsi="Arial" w:cs="Arial"/>
          <w:sz w:val="20"/>
          <w:szCs w:val="20"/>
        </w:rPr>
        <w:t>GLAMENTO: Al presente Reglamento.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AF06C6" w:rsidP="00AF0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</w:t>
      </w:r>
      <w:r w:rsidR="00765CF2" w:rsidRPr="00AF06C6">
        <w:rPr>
          <w:rFonts w:ascii="Arial" w:hAnsi="Arial" w:cs="Arial"/>
          <w:sz w:val="20"/>
          <w:szCs w:val="20"/>
        </w:rPr>
        <w:t>ROGRAMA: El Programa de Desarrollo Urbano de Centro de Población de Colima.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L</w:t>
      </w:r>
      <w:r w:rsidR="00AF06C6">
        <w:rPr>
          <w:rFonts w:ascii="Arial" w:hAnsi="Arial" w:cs="Arial"/>
          <w:sz w:val="20"/>
          <w:szCs w:val="20"/>
        </w:rPr>
        <w:t>A L</w:t>
      </w:r>
      <w:r w:rsidRPr="00AF06C6">
        <w:rPr>
          <w:rFonts w:ascii="Arial" w:hAnsi="Arial" w:cs="Arial"/>
          <w:sz w:val="20"/>
          <w:szCs w:val="20"/>
        </w:rPr>
        <w:t>EY: La ley de Asentamientos Humanos del Estado de Colima.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AF06C6" w:rsidP="00AF0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P</w:t>
      </w:r>
      <w:r w:rsidR="00765CF2" w:rsidRPr="00AF06C6">
        <w:rPr>
          <w:rFonts w:ascii="Arial" w:hAnsi="Arial" w:cs="Arial"/>
          <w:sz w:val="20"/>
          <w:szCs w:val="20"/>
        </w:rPr>
        <w:t>ROGRAMA MUNICIPAL: El Instrumento de Planeación del Desarrollo Urbano a que se refiere la Ley, en su artículo 47.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AF06C6" w:rsidP="00AF0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</w:t>
      </w:r>
      <w:r w:rsidR="00765CF2" w:rsidRPr="00AF06C6">
        <w:rPr>
          <w:rFonts w:ascii="Arial" w:hAnsi="Arial" w:cs="Arial"/>
          <w:sz w:val="20"/>
          <w:szCs w:val="20"/>
        </w:rPr>
        <w:t>ROGRAMAS PARCIALES: Los Programas derivados a que se refieren los artículos 57, 58 y 59 de la Ley.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AF06C6" w:rsidRDefault="00AF06C6" w:rsidP="00AF0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</w:t>
      </w:r>
      <w:r w:rsidR="00765CF2" w:rsidRPr="00AF06C6">
        <w:rPr>
          <w:rFonts w:ascii="Arial" w:hAnsi="Arial" w:cs="Arial"/>
          <w:sz w:val="20"/>
          <w:szCs w:val="20"/>
        </w:rPr>
        <w:t>IRECCIÓN: La Dirección General de Desarrollo Urbano y Ecología.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3º.-</w:t>
      </w:r>
      <w:r w:rsidRPr="00765CF2">
        <w:rPr>
          <w:rFonts w:ascii="Arial" w:hAnsi="Arial" w:cs="Arial"/>
          <w:sz w:val="20"/>
          <w:szCs w:val="20"/>
        </w:rPr>
        <w:t xml:space="preserve"> La Comisión es un órgano consultivo de participación social de carácter permanente, encargado de apoyar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a la autoridad municipal en la determinación de las decisiones sobre las políticas generales, estrategias programas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y acciones del Desarrollo Urbano de acuerdo a las facultades que le otorga la Ley.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4º.-</w:t>
      </w:r>
      <w:r w:rsidRPr="00765CF2">
        <w:rPr>
          <w:rFonts w:ascii="Arial" w:hAnsi="Arial" w:cs="Arial"/>
          <w:sz w:val="20"/>
          <w:szCs w:val="20"/>
        </w:rPr>
        <w:t xml:space="preserve"> La Comisión tiene jurisdicción en el Municipio de Colima, en el ámbito del Desarrollo Urbano.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5º.-</w:t>
      </w:r>
      <w:r w:rsidRPr="00765CF2">
        <w:rPr>
          <w:rFonts w:ascii="Arial" w:hAnsi="Arial" w:cs="Arial"/>
          <w:sz w:val="20"/>
          <w:szCs w:val="20"/>
        </w:rPr>
        <w:t xml:space="preserve"> La Comisión conforme al acuerdo que la crea, estará formada por los representantes de las siguientes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dependencias federales, estatales, municipales y organizaciones privadas y sociales, así como futuras que a juicio del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Cabildo deban integrarla. Estos podrán ser sustituidos en cualquier momento por los organismos que los propusieron.</w:t>
      </w:r>
    </w:p>
    <w:p w:rsidR="00765CF2" w:rsidRPr="00AF06C6" w:rsidRDefault="00AF06C6" w:rsidP="00AF06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</w:t>
      </w:r>
      <w:r w:rsidR="00765CF2" w:rsidRPr="00AF06C6">
        <w:rPr>
          <w:rFonts w:ascii="Arial" w:hAnsi="Arial" w:cs="Arial"/>
          <w:sz w:val="20"/>
          <w:szCs w:val="20"/>
        </w:rPr>
        <w:t>residente de la Comisión: El Presidente Municipal;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AF06C6" w:rsidRDefault="00AF06C6" w:rsidP="00AF06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</w:t>
      </w:r>
      <w:r w:rsidR="00765CF2" w:rsidRPr="00AF06C6">
        <w:rPr>
          <w:rFonts w:ascii="Arial" w:hAnsi="Arial" w:cs="Arial"/>
          <w:sz w:val="20"/>
          <w:szCs w:val="20"/>
        </w:rPr>
        <w:t>ecretario Técnico: El Director General de Desarrollo Urbano y Ecología; y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AF06C6" w:rsidRDefault="00AF06C6" w:rsidP="00AF06C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R</w:t>
      </w:r>
      <w:r w:rsidR="00765CF2" w:rsidRPr="00AF06C6">
        <w:rPr>
          <w:rFonts w:ascii="Arial" w:hAnsi="Arial" w:cs="Arial"/>
          <w:sz w:val="20"/>
          <w:szCs w:val="20"/>
        </w:rPr>
        <w:t>epresentante de cada una de las siguientes dependencias públicas y organismos privados, quienes fungirán como vocales de la Comisión: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Un Regidor integrante de la Comisión de Desarrollo Urbano del H. Cabildo.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Secretaría de Desarrollo Urbano del Gobierno del Estado (SEDUR).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Delegación Estatal de la Secretaría de Desarrollo Social (SEDESOL).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Cámara Nacional de Comercio, Servicios y Turismo (CANACO).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Cámara Nacional de la Industria Restaurantera y Alimentos Condimentados (CANIRAC).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Cámara Mexicana de la Industria de la Construcción (C.M.I.C.).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Cámara Nacional de la Industria de la Transformación, Delegación Colima (CANACINTRA).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F06C6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Cámara Nacional de Vivienda (CANADEVI)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Colegio de Arquitectos del Estado de Colima, A. C.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Colegio de Ingenieros Civiles del Estado de Colima, A. C.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Colegio de Arquitectos e Ingenieros de Colima, A.C.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lastRenderedPageBreak/>
        <w:t>Colegio de Notarios Públicos del Estado de Colima, A. C.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Instituto Mexica</w:t>
      </w:r>
      <w:r w:rsidR="00AF06C6">
        <w:rPr>
          <w:rFonts w:ascii="Arial" w:hAnsi="Arial" w:cs="Arial"/>
          <w:sz w:val="20"/>
          <w:szCs w:val="20"/>
        </w:rPr>
        <w:t>no de Valuación en Colima, A.C.</w:t>
      </w:r>
    </w:p>
    <w:p w:rsidR="00AF06C6" w:rsidRPr="00AF06C6" w:rsidRDefault="00AF06C6" w:rsidP="00AF06C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F06C6" w:rsidRPr="00AF06C6" w:rsidRDefault="00765CF2" w:rsidP="00AF06C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F06C6">
        <w:rPr>
          <w:rFonts w:ascii="Arial" w:hAnsi="Arial" w:cs="Arial"/>
          <w:sz w:val="20"/>
          <w:szCs w:val="20"/>
        </w:rPr>
        <w:t>Pro – Ecología de Colima, A. C.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6º.-</w:t>
      </w:r>
      <w:r w:rsidRPr="00765CF2">
        <w:rPr>
          <w:rFonts w:ascii="Arial" w:hAnsi="Arial" w:cs="Arial"/>
          <w:sz w:val="20"/>
          <w:szCs w:val="20"/>
        </w:rPr>
        <w:t xml:space="preserve"> La Comisión tendrá su sede en la cabecera municipal y sesionará en el domicilio del Ayuntamiento de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Colima, donde recibirá en forma permanente las opiniones, sugerencias y demandas en materia de desarrollo urbano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de la población a través de la Dirección.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7º.-</w:t>
      </w:r>
      <w:r w:rsidRPr="00765CF2">
        <w:rPr>
          <w:rFonts w:ascii="Arial" w:hAnsi="Arial" w:cs="Arial"/>
          <w:sz w:val="20"/>
          <w:szCs w:val="20"/>
        </w:rPr>
        <w:t xml:space="preserve"> Durante los primeros 30 días de cada administración municipal, se citará a reunión, misma que será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convocada por el nuevo presidente de la Comisión, a efecto de formalizar la reinstalación de la misma. La inasistencia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injustificada de los vocales, a tres sesiones, en forma consecutiva, será motivo de baja, previo acuerdo de la Comisión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Consultiva debidamente notificado a la organización afectada.</w:t>
      </w:r>
    </w:p>
    <w:p w:rsidR="00765CF2" w:rsidRPr="00765CF2" w:rsidRDefault="00765CF2" w:rsidP="00302FF4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CAPITULO II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FUNCIONES Y ATRIBUCIONES DE LA COMISION CONSULTIVA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8°.-</w:t>
      </w:r>
      <w:r w:rsidRPr="00765CF2">
        <w:rPr>
          <w:rFonts w:ascii="Arial" w:hAnsi="Arial" w:cs="Arial"/>
          <w:sz w:val="20"/>
          <w:szCs w:val="20"/>
        </w:rPr>
        <w:t xml:space="preserve"> La Comisión tendrá las siguientes atribuciones:</w:t>
      </w:r>
    </w:p>
    <w:p w:rsidR="00765CF2" w:rsidRPr="00D03432" w:rsidRDefault="00D0343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Asesor</w:t>
      </w:r>
      <w:r w:rsidR="00765CF2" w:rsidRPr="00D03432">
        <w:rPr>
          <w:rFonts w:ascii="Arial" w:hAnsi="Arial" w:cs="Arial"/>
          <w:sz w:val="20"/>
          <w:szCs w:val="20"/>
        </w:rPr>
        <w:t>ar y apoyar al H. Cabildo en materia de desarrollo urbano, así como opinar respecto de los programas relativo</w:t>
      </w:r>
      <w:r>
        <w:rPr>
          <w:rFonts w:ascii="Arial" w:hAnsi="Arial" w:cs="Arial"/>
          <w:sz w:val="20"/>
          <w:szCs w:val="20"/>
        </w:rPr>
        <w:t>s;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D0343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Opinar s</w:t>
      </w:r>
      <w:r w:rsidR="00765CF2" w:rsidRPr="00D03432">
        <w:rPr>
          <w:rFonts w:ascii="Arial" w:hAnsi="Arial" w:cs="Arial"/>
          <w:sz w:val="20"/>
          <w:szCs w:val="20"/>
        </w:rPr>
        <w:t>obre la operación de los diferentes proyectos de obras de aprovechamiento urbano del suelo en el Municipi</w:t>
      </w:r>
      <w:r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D03432" w:rsidRPr="00D03432" w:rsidRDefault="00D0343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 p</w:t>
      </w:r>
      <w:r w:rsidR="00765CF2" w:rsidRPr="00D03432">
        <w:rPr>
          <w:rFonts w:ascii="Arial" w:hAnsi="Arial" w:cs="Arial"/>
          <w:sz w:val="20"/>
          <w:szCs w:val="20"/>
        </w:rPr>
        <w:t>ropuestas en materia de reservas territoriales y regularización de la tenencia de la tierr</w:t>
      </w:r>
      <w:r>
        <w:rPr>
          <w:rFonts w:ascii="Arial" w:hAnsi="Arial" w:cs="Arial"/>
          <w:sz w:val="20"/>
          <w:szCs w:val="20"/>
        </w:rPr>
        <w:t>a;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Opinar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sobre la procedencia de ejecutar obras de infraestructura y equipamiento urbano prioritario de los centros de población del Municipi</w:t>
      </w:r>
      <w:r w:rsidR="00D03432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Representar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los intereses de la comunidad del Municipio, cuya colaboración es necesaria para la ejecución de acciones, obras o servicios de desarrollo urban</w:t>
      </w:r>
      <w:r w:rsidR="00D03432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Proponer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a las autoridades municipales, la creación de nuevos servicios o conservación y mejoramiento de los ya existentes, sobre bases de colaboración particular, de acuerdo con las necesidades o solicitudes de los diversos sectores de població</w:t>
      </w:r>
      <w:r w:rsidR="00D03432">
        <w:rPr>
          <w:rFonts w:ascii="Arial" w:hAnsi="Arial" w:cs="Arial"/>
          <w:sz w:val="20"/>
          <w:szCs w:val="20"/>
        </w:rPr>
        <w:t>n;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D0343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Promover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la capacitación técnica en materia de desarrollo urban</w:t>
      </w:r>
      <w:r w:rsidR="00D03432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D03432" w:rsidRPr="00A0595E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Analizar</w:t>
      </w:r>
      <w:r w:rsidRPr="00D03432">
        <w:rPr>
          <w:rFonts w:ascii="Arial" w:hAnsi="Arial" w:cs="Arial"/>
          <w:b/>
          <w:sz w:val="20"/>
          <w:szCs w:val="20"/>
        </w:rPr>
        <w:t>, v</w:t>
      </w:r>
      <w:r w:rsidRPr="00D03432">
        <w:rPr>
          <w:rFonts w:ascii="Arial" w:hAnsi="Arial" w:cs="Arial"/>
          <w:sz w:val="20"/>
          <w:szCs w:val="20"/>
        </w:rPr>
        <w:t>igilar y agilizar los estudios relacionados con las obras propuestas en los anteproyectos y proyectos de desarrollo urbano y viviend</w:t>
      </w:r>
      <w:r w:rsidR="00D03432">
        <w:rPr>
          <w:rFonts w:ascii="Arial" w:hAnsi="Arial" w:cs="Arial"/>
          <w:sz w:val="20"/>
          <w:szCs w:val="20"/>
        </w:rPr>
        <w:t>a;</w:t>
      </w:r>
    </w:p>
    <w:p w:rsidR="00A0595E" w:rsidRPr="00D03432" w:rsidRDefault="00A0595E" w:rsidP="00A0595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D0343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Promover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y llevar a cabo campañas para la divulgación y difusión de los programas de desarrollo urbano y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viviend</w:t>
      </w:r>
      <w:r w:rsidR="00D03432">
        <w:rPr>
          <w:rFonts w:ascii="Arial" w:hAnsi="Arial" w:cs="Arial"/>
          <w:sz w:val="20"/>
          <w:szCs w:val="20"/>
        </w:rPr>
        <w:t>a;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Recibir</w:t>
      </w:r>
      <w:r w:rsidRPr="00D03432">
        <w:rPr>
          <w:rFonts w:ascii="Arial" w:hAnsi="Arial" w:cs="Arial"/>
          <w:b/>
          <w:sz w:val="20"/>
          <w:szCs w:val="20"/>
        </w:rPr>
        <w:t xml:space="preserve">, </w:t>
      </w:r>
      <w:r w:rsidRPr="00D03432">
        <w:rPr>
          <w:rFonts w:ascii="Arial" w:hAnsi="Arial" w:cs="Arial"/>
          <w:sz w:val="20"/>
          <w:szCs w:val="20"/>
        </w:rPr>
        <w:t xml:space="preserve">opinar y canalizar al Ayuntamiento, en forma permanente, opiniones, demandas, sugerencias y propuestas que formule la comunidad respecto a sus necesidades del suelo, </w:t>
      </w:r>
      <w:r w:rsidRPr="00D03432">
        <w:rPr>
          <w:rFonts w:ascii="Arial" w:hAnsi="Arial" w:cs="Arial"/>
          <w:sz w:val="20"/>
          <w:szCs w:val="20"/>
        </w:rPr>
        <w:lastRenderedPageBreak/>
        <w:t>equipamiento, infraestructura, vivienda y servicios urbanos e incorporarlas al Plan Municipal de Desarrollo y a los Programas de Desarrollo Urbano del Municipi</w:t>
      </w:r>
      <w:r w:rsidR="00D03432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Integrar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grupos de trabajo temporales o subcomisiones que se aboquen al estudio, análisis y opinión sobre situaciones y problemas específicos del desarrollo urbano del municipio, los cuales serán coordinados por el Secretario Técnico o su suplent</w:t>
      </w:r>
      <w:r w:rsidR="00D03432">
        <w:rPr>
          <w:rFonts w:ascii="Arial" w:hAnsi="Arial" w:cs="Arial"/>
          <w:sz w:val="20"/>
          <w:szCs w:val="20"/>
        </w:rPr>
        <w:t>e;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Opinar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sobre los Reglamentos de Zonificación, Anuncios, Desarrollo Urbano y Seguridad Estructural o Construcciones y otros de carácter urbano que a juicio de la Comisión se elabore</w:t>
      </w:r>
      <w:r w:rsidR="00D03432">
        <w:rPr>
          <w:rFonts w:ascii="Arial" w:hAnsi="Arial" w:cs="Arial"/>
          <w:sz w:val="20"/>
          <w:szCs w:val="20"/>
        </w:rPr>
        <w:t>n;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Someter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a consideración del Cabildo el proyecto y adecuaciones del Reglamento Interno, el cual deberá contener normas relativas a su funcionamient</w:t>
      </w:r>
      <w:r w:rsidR="00D03432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Hacer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que se respete el Plan Municipal de Desarrollo, en los asuntos de desarrollo urbano del Municipi</w:t>
      </w:r>
      <w:r w:rsidR="00D03432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Promover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y coordinar la participación ciudadana en la elaboración, revisión, seguimiento y evaluación de los programas de desarrollo urbano, impulsándolos en forma ordenada, equilibrada, equitativa y participativa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 xml:space="preserve">Establecer coordinación con las demás Comisiones, en especial con las de los Municipios de Villa de Álvarez, Comala, </w:t>
      </w:r>
      <w:proofErr w:type="spellStart"/>
      <w:r w:rsidRPr="00D03432">
        <w:rPr>
          <w:rFonts w:ascii="Arial" w:hAnsi="Arial" w:cs="Arial"/>
          <w:sz w:val="20"/>
          <w:szCs w:val="20"/>
        </w:rPr>
        <w:t>Coquimatlán</w:t>
      </w:r>
      <w:proofErr w:type="spellEnd"/>
      <w:r w:rsidRPr="00D03432">
        <w:rPr>
          <w:rFonts w:ascii="Arial" w:hAnsi="Arial" w:cs="Arial"/>
          <w:sz w:val="20"/>
          <w:szCs w:val="20"/>
        </w:rPr>
        <w:t xml:space="preserve"> y Cuauhtémo</w:t>
      </w:r>
      <w:r w:rsidRPr="00D03432">
        <w:rPr>
          <w:rFonts w:ascii="Arial" w:hAnsi="Arial" w:cs="Arial"/>
          <w:b/>
          <w:sz w:val="20"/>
          <w:szCs w:val="20"/>
        </w:rPr>
        <w:t>c.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Las demás que le otorgue la Ley.</w:t>
      </w:r>
    </w:p>
    <w:p w:rsidR="00765CF2" w:rsidRPr="00765CF2" w:rsidRDefault="00765CF2" w:rsidP="00302FF4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CAPITULO III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FACULTADES Y OBLIGACIONES DE LOS INTEGRANTES DE LA COMISIÓN CONSULTIVA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9º.-</w:t>
      </w:r>
      <w:r w:rsidRPr="00765CF2">
        <w:rPr>
          <w:rFonts w:ascii="Arial" w:hAnsi="Arial" w:cs="Arial"/>
          <w:sz w:val="20"/>
          <w:szCs w:val="20"/>
        </w:rPr>
        <w:t xml:space="preserve"> La Comisión tendrá un Presidente, que será el Presidente Municipal, un Suplente, un Secretario Técnico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que será el Director General de Desarrollo Urbano y como vocales los representantes de cada una de las Dependencias,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Colegios de Profesionistas, Asociaciones y Organizaciones de los sectores privados y sociales, señalados en el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artículo 5° de este ordenamiento.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10.-</w:t>
      </w:r>
      <w:r w:rsidRPr="00765CF2">
        <w:rPr>
          <w:rFonts w:ascii="Arial" w:hAnsi="Arial" w:cs="Arial"/>
          <w:sz w:val="20"/>
          <w:szCs w:val="20"/>
        </w:rPr>
        <w:t xml:space="preserve"> El Presidente tendrá las siguientes facultades:</w:t>
      </w:r>
    </w:p>
    <w:p w:rsidR="00765CF2" w:rsidRPr="00D03432" w:rsidRDefault="00765CF2" w:rsidP="00D034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Dirigir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y moderar los debates durante las sesiones velando por la fluidez de los mismos;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D03432" w:rsidRPr="00D03432" w:rsidRDefault="00765CF2" w:rsidP="00D034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Convocar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a las Sesiones Extraordinaria</w:t>
      </w:r>
      <w:r w:rsidR="00D03432">
        <w:rPr>
          <w:rFonts w:ascii="Arial" w:hAnsi="Arial" w:cs="Arial"/>
          <w:sz w:val="20"/>
          <w:szCs w:val="20"/>
        </w:rPr>
        <w:t>s;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Ordenar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al Secretario Técnico extender las certificaciones que por disposición legal deba expedir la Comisión Consultiva a petición de parte interesada;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Designar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a su suplente en caso de ausencia;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Someter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a la consideración del Cabildo la revocación de nombramientos de la misma, exponiendo las causa que originan la propuesta;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Tomar en consideración las decisiones y acuerdos de la Comisión para su Plan de Trabajo; y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lastRenderedPageBreak/>
        <w:t>Tendrá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voto de calidad en caso de empate.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11.-</w:t>
      </w:r>
      <w:r w:rsidRPr="00765CF2">
        <w:rPr>
          <w:rFonts w:ascii="Arial" w:hAnsi="Arial" w:cs="Arial"/>
          <w:sz w:val="20"/>
          <w:szCs w:val="20"/>
        </w:rPr>
        <w:t xml:space="preserve"> El Secretario Técnico tendrá las siguientes atribuciones:</w:t>
      </w: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Levantar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las actas de cada una de las sesiones de la Comisión y consignarlas debidamente firmadas en el libro respectivo ó en hojas como las actas de Cabild</w:t>
      </w:r>
      <w:r w:rsidR="004456D1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Leer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el acta de la sesión anterio</w:t>
      </w:r>
      <w:r w:rsidR="004456D1">
        <w:rPr>
          <w:rFonts w:ascii="Arial" w:hAnsi="Arial" w:cs="Arial"/>
          <w:sz w:val="20"/>
          <w:szCs w:val="20"/>
        </w:rPr>
        <w:t>r;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Pasar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lista a los miembros de la Comisión y llevar el registro correspondient</w:t>
      </w:r>
      <w:r w:rsidR="004456D1">
        <w:rPr>
          <w:rFonts w:ascii="Arial" w:hAnsi="Arial" w:cs="Arial"/>
          <w:sz w:val="20"/>
          <w:szCs w:val="20"/>
        </w:rPr>
        <w:t>e;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Convocar a las reuniones ordinarias, conforme al programa del trabajo aprobad</w:t>
      </w:r>
      <w:r w:rsidR="004456D1">
        <w:rPr>
          <w:rFonts w:ascii="Arial" w:hAnsi="Arial" w:cs="Arial"/>
          <w:sz w:val="20"/>
          <w:szCs w:val="20"/>
        </w:rPr>
        <w:t>o;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Circular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con oportunidad entre los miembros de la Comisión los citatorios y dictámenes que deban conocer los vocale</w:t>
      </w:r>
      <w:r w:rsidR="004456D1">
        <w:rPr>
          <w:rFonts w:ascii="Arial" w:hAnsi="Arial" w:cs="Arial"/>
          <w:sz w:val="20"/>
          <w:szCs w:val="20"/>
        </w:rPr>
        <w:t>s;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Llevar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el cómputo de las votaciones y registrar el resultado de cada asunto que se someta a votació</w:t>
      </w:r>
      <w:r w:rsidR="004456D1">
        <w:rPr>
          <w:rFonts w:ascii="Arial" w:hAnsi="Arial" w:cs="Arial"/>
          <w:sz w:val="20"/>
          <w:szCs w:val="20"/>
        </w:rPr>
        <w:t>n;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Designar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a su suplente en caso de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ausenci</w:t>
      </w:r>
      <w:r w:rsidR="004456D1">
        <w:rPr>
          <w:rFonts w:ascii="Arial" w:hAnsi="Arial" w:cs="Arial"/>
          <w:sz w:val="20"/>
          <w:szCs w:val="20"/>
        </w:rPr>
        <w:t>a;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La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vigilancia y el estricto seguimiento del funcionamiento de la Comisión, informando oportunamente al</w:t>
      </w:r>
      <w:r w:rsidR="00D03432" w:rsidRPr="004456D1">
        <w:rPr>
          <w:rFonts w:ascii="Arial" w:hAnsi="Arial" w:cs="Arial"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Presidente de cualquier rezago o desviación, en términos de los objetivos del organismo a acuerdos respectivos;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 xml:space="preserve">Informar a los miembros de la Comisión sobre cualquier asunto relativo a su incumbencia; </w:t>
      </w:r>
      <w:r w:rsidRPr="004456D1">
        <w:rPr>
          <w:rFonts w:ascii="Arial" w:hAnsi="Arial" w:cs="Arial"/>
          <w:sz w:val="20"/>
          <w:szCs w:val="20"/>
        </w:rPr>
        <w:t>y</w:t>
      </w:r>
    </w:p>
    <w:p w:rsidR="00D03432" w:rsidRPr="00D03432" w:rsidRDefault="00D03432" w:rsidP="00D03432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D03432" w:rsidRDefault="00765CF2" w:rsidP="00D0343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D03432">
        <w:rPr>
          <w:rFonts w:ascii="Arial" w:hAnsi="Arial" w:cs="Arial"/>
          <w:sz w:val="20"/>
          <w:szCs w:val="20"/>
        </w:rPr>
        <w:t>Las</w:t>
      </w:r>
      <w:r w:rsidRPr="00D03432">
        <w:rPr>
          <w:rFonts w:ascii="Arial" w:hAnsi="Arial" w:cs="Arial"/>
          <w:b/>
          <w:sz w:val="20"/>
          <w:szCs w:val="20"/>
        </w:rPr>
        <w:t xml:space="preserve"> </w:t>
      </w:r>
      <w:r w:rsidRPr="00D03432">
        <w:rPr>
          <w:rFonts w:ascii="Arial" w:hAnsi="Arial" w:cs="Arial"/>
          <w:sz w:val="20"/>
          <w:szCs w:val="20"/>
        </w:rPr>
        <w:t>demás que se señalen o le encomiende la Comisión.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12.-</w:t>
      </w:r>
      <w:r w:rsidRPr="00765CF2">
        <w:rPr>
          <w:rFonts w:ascii="Arial" w:hAnsi="Arial" w:cs="Arial"/>
          <w:sz w:val="20"/>
          <w:szCs w:val="20"/>
        </w:rPr>
        <w:t xml:space="preserve"> Los vocales tendrán las siguientes funciones:</w:t>
      </w: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Tendrán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derecho de voz y voto. Las personas, dependencias y organismos que por atribuciones la Comisión estime necesaria su intervención y participación solamente tendrán derecho de vo</w:t>
      </w:r>
      <w:r w:rsidR="004456D1">
        <w:rPr>
          <w:rFonts w:ascii="Arial" w:hAnsi="Arial" w:cs="Arial"/>
          <w:sz w:val="20"/>
          <w:szCs w:val="20"/>
        </w:rPr>
        <w:t>z;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4456D1" w:rsidRPr="004456D1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Asistir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con regularidad a las reuniones de la Comisió</w:t>
      </w:r>
      <w:r w:rsidR="004456D1">
        <w:rPr>
          <w:rFonts w:ascii="Arial" w:hAnsi="Arial" w:cs="Arial"/>
          <w:sz w:val="20"/>
          <w:szCs w:val="20"/>
        </w:rPr>
        <w:t>n;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4456D1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Conocer,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discutir y en su caso aprobar todos los asuntos relacionados con las facultades y atribuciones de la Comisió</w:t>
      </w:r>
      <w:r w:rsidR="004456D1">
        <w:rPr>
          <w:rFonts w:ascii="Arial" w:hAnsi="Arial" w:cs="Arial"/>
          <w:sz w:val="20"/>
          <w:szCs w:val="20"/>
        </w:rPr>
        <w:t>n;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Conocer y en su caso aprobar el programa de actividades que presente el Secretario Técnic</w:t>
      </w:r>
      <w:r w:rsidR="004456D1">
        <w:rPr>
          <w:rFonts w:ascii="Arial" w:hAnsi="Arial" w:cs="Arial"/>
          <w:sz w:val="20"/>
          <w:szCs w:val="20"/>
        </w:rPr>
        <w:t>o;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Participar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en los grupos de trabajo temporales o subcomisiones que se integren para el análisis y opinión de asuntos o problemas específico</w:t>
      </w:r>
      <w:r w:rsidR="004456D1">
        <w:rPr>
          <w:rFonts w:ascii="Arial" w:hAnsi="Arial" w:cs="Arial"/>
          <w:sz w:val="20"/>
          <w:szCs w:val="20"/>
        </w:rPr>
        <w:t>s;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Procurar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documentarse adecuadamente antes de emitir juicios o resoluciones en los asuntos que se discutan en el seno de la Comisió</w:t>
      </w:r>
      <w:r w:rsidR="004456D1">
        <w:rPr>
          <w:rFonts w:ascii="Arial" w:hAnsi="Arial" w:cs="Arial"/>
          <w:sz w:val="20"/>
          <w:szCs w:val="20"/>
        </w:rPr>
        <w:t>n;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4456D1" w:rsidRPr="00302FF4" w:rsidRDefault="00765CF2" w:rsidP="00302FF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Respetar los acuerdos emanados de las reuniones de la Comisión, asegurándose que sus representantes los cumpla</w:t>
      </w:r>
      <w:r w:rsidR="004456D1">
        <w:rPr>
          <w:rFonts w:ascii="Arial" w:hAnsi="Arial" w:cs="Arial"/>
          <w:sz w:val="20"/>
          <w:szCs w:val="20"/>
        </w:rPr>
        <w:t>n;</w:t>
      </w: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lastRenderedPageBreak/>
        <w:t>Los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vocales designarán a sus respectivos suplentes para las sesiones o actos a los cuales no puedan asistir, debiendo realizarse por escrito dirigido al secretario Técnico de la Comisió</w:t>
      </w:r>
      <w:r w:rsidR="004456D1">
        <w:rPr>
          <w:rFonts w:ascii="Arial" w:hAnsi="Arial" w:cs="Arial"/>
          <w:sz w:val="20"/>
          <w:szCs w:val="20"/>
        </w:rPr>
        <w:t>n;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Los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miembros de la Comisión permanecerán en su cargo por tiempo indefinido, en cuanto no sean cambiados por su representados;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Informar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y buscar el apoyo de los organismos que cada uno representa para las decisiones y acuerdos en el seno de la Comisión;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Los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miembros suplentes tendrán todos los derechos del titular únicamente para las reuniones o sesiones para la cual fueron nombrados; y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4456D1" w:rsidRDefault="00765CF2" w:rsidP="004456D1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Todas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aquellas que resulten de la Comisión.</w:t>
      </w:r>
    </w:p>
    <w:p w:rsidR="00765CF2" w:rsidRPr="00765CF2" w:rsidRDefault="00765CF2" w:rsidP="00302FF4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CAPITULO IV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SUBCOMISIONES TECNICAS O GRUPOS DE TRABAJO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13.-</w:t>
      </w:r>
      <w:r w:rsidRPr="00765CF2">
        <w:rPr>
          <w:rFonts w:ascii="Arial" w:hAnsi="Arial" w:cs="Arial"/>
          <w:sz w:val="20"/>
          <w:szCs w:val="20"/>
        </w:rPr>
        <w:t xml:space="preserve"> Los grupos de trabajo tendrán carácter temporal y se integrarán cuando a juicio de la Comisión exista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una situación que demande una atención especial.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14.-</w:t>
      </w:r>
      <w:r w:rsidRPr="00765CF2">
        <w:rPr>
          <w:rFonts w:ascii="Arial" w:hAnsi="Arial" w:cs="Arial"/>
          <w:sz w:val="20"/>
          <w:szCs w:val="20"/>
        </w:rPr>
        <w:t xml:space="preserve"> Las opiniones y resoluciones de los grupos de trabajo no tendrán carácter definitivo, en todo caso dichas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resoluciones tendrán que ser sancionadas por el pleno de la Comisión.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15.-</w:t>
      </w:r>
      <w:r w:rsidRPr="00765CF2">
        <w:rPr>
          <w:rFonts w:ascii="Arial" w:hAnsi="Arial" w:cs="Arial"/>
          <w:sz w:val="20"/>
          <w:szCs w:val="20"/>
        </w:rPr>
        <w:t xml:space="preserve"> Para cumplir con el propósito para el que fueron creados, los grupos de trabajo o subcomisiones llevarán</w:t>
      </w:r>
      <w:r>
        <w:rPr>
          <w:rFonts w:ascii="Arial" w:hAnsi="Arial" w:cs="Arial"/>
          <w:sz w:val="20"/>
          <w:szCs w:val="20"/>
        </w:rPr>
        <w:t xml:space="preserve"> </w:t>
      </w:r>
      <w:r w:rsidR="004456D1" w:rsidRPr="00765CF2">
        <w:rPr>
          <w:rFonts w:ascii="Arial" w:hAnsi="Arial" w:cs="Arial"/>
          <w:sz w:val="20"/>
          <w:szCs w:val="20"/>
        </w:rPr>
        <w:t>a cabo</w:t>
      </w:r>
      <w:r w:rsidRPr="00765CF2">
        <w:rPr>
          <w:rFonts w:ascii="Arial" w:hAnsi="Arial" w:cs="Arial"/>
          <w:sz w:val="20"/>
          <w:szCs w:val="20"/>
        </w:rPr>
        <w:t xml:space="preserve"> las siguientes actividades:</w:t>
      </w:r>
    </w:p>
    <w:p w:rsidR="00765CF2" w:rsidRPr="004456D1" w:rsidRDefault="00765CF2" w:rsidP="00445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Realizar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4456D1">
        <w:rPr>
          <w:rFonts w:ascii="Arial" w:hAnsi="Arial" w:cs="Arial"/>
          <w:sz w:val="20"/>
          <w:szCs w:val="20"/>
        </w:rPr>
        <w:t>los análisis y emitir las opiniones que les solicite el pleno de la Comisión</w:t>
      </w:r>
      <w:r w:rsidR="004456D1">
        <w:rPr>
          <w:rFonts w:ascii="Arial" w:hAnsi="Arial" w:cs="Arial"/>
          <w:sz w:val="20"/>
          <w:szCs w:val="20"/>
        </w:rPr>
        <w:t>; y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4456D1" w:rsidRDefault="00765CF2" w:rsidP="004456D1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Podrán recurrir a la asesoría de especialistas cuando lo requiera el asunto en cuestión.</w:t>
      </w:r>
    </w:p>
    <w:p w:rsidR="00765CF2" w:rsidRPr="00765CF2" w:rsidRDefault="00765CF2" w:rsidP="00302FF4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CAPITULO V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PARTICIPACION SOCIAL EN EL DESARROLLO URBANO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16.-</w:t>
      </w:r>
      <w:r w:rsidRPr="00765CF2">
        <w:rPr>
          <w:rFonts w:ascii="Arial" w:hAnsi="Arial" w:cs="Arial"/>
          <w:sz w:val="20"/>
          <w:szCs w:val="20"/>
        </w:rPr>
        <w:t xml:space="preserve"> En materia de participación social, la Comisión apoyará e intervendrá en las siguientes actividades:</w:t>
      </w:r>
    </w:p>
    <w:p w:rsidR="00765CF2" w:rsidRPr="00112E23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Recibir las opiniones, demandas y sugerencias de la comunidad y traducirlas técnicamente para su posible incorporación en los programas de desarrollo</w:t>
      </w:r>
      <w:r w:rsidRPr="00112E23">
        <w:rPr>
          <w:rFonts w:ascii="Arial" w:hAnsi="Arial" w:cs="Arial"/>
          <w:b/>
          <w:sz w:val="20"/>
          <w:szCs w:val="20"/>
        </w:rPr>
        <w:t xml:space="preserve"> </w:t>
      </w:r>
      <w:r w:rsidRPr="00112E23">
        <w:rPr>
          <w:rFonts w:ascii="Arial" w:hAnsi="Arial" w:cs="Arial"/>
          <w:sz w:val="20"/>
          <w:szCs w:val="20"/>
        </w:rPr>
        <w:t>urban</w:t>
      </w:r>
      <w:r w:rsidR="00112E23">
        <w:rPr>
          <w:rFonts w:ascii="Arial" w:hAnsi="Arial" w:cs="Arial"/>
          <w:sz w:val="20"/>
          <w:szCs w:val="20"/>
        </w:rPr>
        <w:t>o;</w:t>
      </w:r>
    </w:p>
    <w:p w:rsidR="004456D1" w:rsidRPr="00112E23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Llevar a cabo los análisis sobre la problemática del desarrollo urbano y formular propuestas al respecto. Para tal efecto, se podrán crear subcomisiones por componente del desarrollo urbano, con la participación de personas u organizaciones cuyos conocimientos o experiencias las califiquen para aportar los elementos de juicio</w:t>
      </w:r>
      <w:r w:rsidRPr="00112E23">
        <w:rPr>
          <w:rFonts w:ascii="Arial" w:hAnsi="Arial" w:cs="Arial"/>
          <w:b/>
          <w:sz w:val="20"/>
          <w:szCs w:val="20"/>
        </w:rPr>
        <w:t xml:space="preserve"> </w:t>
      </w:r>
      <w:r w:rsidRPr="00112E23">
        <w:rPr>
          <w:rFonts w:ascii="Arial" w:hAnsi="Arial" w:cs="Arial"/>
          <w:sz w:val="20"/>
          <w:szCs w:val="20"/>
        </w:rPr>
        <w:t>pertinente</w:t>
      </w:r>
      <w:r w:rsidR="00112E23">
        <w:rPr>
          <w:rFonts w:ascii="Arial" w:hAnsi="Arial" w:cs="Arial"/>
          <w:sz w:val="20"/>
          <w:szCs w:val="20"/>
        </w:rPr>
        <w:t>s;</w:t>
      </w:r>
    </w:p>
    <w:p w:rsidR="004456D1" w:rsidRPr="00112E23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Informar permanentemente a la comunidad sobre aspectos vinculados con los programas de desarrollo urbano que se traten en la Comisió</w:t>
      </w:r>
      <w:r w:rsidR="00112E23">
        <w:rPr>
          <w:rFonts w:ascii="Arial" w:hAnsi="Arial" w:cs="Arial"/>
          <w:sz w:val="20"/>
          <w:szCs w:val="20"/>
        </w:rPr>
        <w:t>n;</w:t>
      </w:r>
    </w:p>
    <w:p w:rsidR="004456D1" w:rsidRPr="00112E23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Establecer y coordinar un sistema de quejas y sugerencias relacionadas con la conducción del desarrollo urbano y canalizarlas a la administración municipal, instalándose para apoyo de este, un buzón en las oficinas del Departamento de Desarrollo Urban</w:t>
      </w:r>
      <w:r w:rsidR="00112E23">
        <w:rPr>
          <w:rFonts w:ascii="Arial" w:hAnsi="Arial" w:cs="Arial"/>
          <w:sz w:val="20"/>
          <w:szCs w:val="20"/>
        </w:rPr>
        <w:t>o.</w:t>
      </w:r>
    </w:p>
    <w:p w:rsidR="004456D1" w:rsidRPr="00112E23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lastRenderedPageBreak/>
        <w:t>Llevar</w:t>
      </w:r>
      <w:r w:rsidRPr="00112E23">
        <w:rPr>
          <w:rFonts w:ascii="Arial" w:hAnsi="Arial" w:cs="Arial"/>
          <w:b/>
          <w:sz w:val="20"/>
          <w:szCs w:val="20"/>
        </w:rPr>
        <w:t xml:space="preserve"> </w:t>
      </w:r>
      <w:r w:rsidRPr="00112E23">
        <w:rPr>
          <w:rFonts w:ascii="Arial" w:hAnsi="Arial" w:cs="Arial"/>
          <w:sz w:val="20"/>
          <w:szCs w:val="20"/>
        </w:rPr>
        <w:t>a cabo el seguimiento de la operación de los programas de desarrollo urbano e informar a la administración municipal y a la comunidad de las desviaciones y retrasos que se detecte</w:t>
      </w:r>
      <w:r w:rsidR="00112E23">
        <w:rPr>
          <w:rFonts w:ascii="Arial" w:hAnsi="Arial" w:cs="Arial"/>
          <w:sz w:val="20"/>
          <w:szCs w:val="20"/>
        </w:rPr>
        <w:t>n;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Coordinar la evaluación de los programas de desarrollo urbano con la participación de la comunida</w:t>
      </w:r>
      <w:r w:rsidR="00112E23">
        <w:rPr>
          <w:rFonts w:ascii="Arial" w:hAnsi="Arial" w:cs="Arial"/>
          <w:sz w:val="20"/>
          <w:szCs w:val="20"/>
        </w:rPr>
        <w:t>d;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Establecer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112E23">
        <w:rPr>
          <w:rFonts w:ascii="Arial" w:hAnsi="Arial" w:cs="Arial"/>
          <w:sz w:val="20"/>
          <w:szCs w:val="20"/>
        </w:rPr>
        <w:t>los grupos u organizaciones de la comunidad necesarios para el desahogo de asuntos particulares que requieran de información o conocimiento específicos. Estos grupos se establecerán mediante convocatoria;</w:t>
      </w:r>
      <w:r w:rsidRPr="004456D1">
        <w:rPr>
          <w:rFonts w:ascii="Arial" w:hAnsi="Arial" w:cs="Arial"/>
          <w:b/>
          <w:sz w:val="20"/>
          <w:szCs w:val="20"/>
        </w:rPr>
        <w:t xml:space="preserve"> </w:t>
      </w:r>
      <w:r w:rsidRPr="00112E23">
        <w:rPr>
          <w:rFonts w:ascii="Arial" w:hAnsi="Arial" w:cs="Arial"/>
          <w:sz w:val="20"/>
          <w:szCs w:val="20"/>
        </w:rPr>
        <w:t>y</w:t>
      </w:r>
    </w:p>
    <w:p w:rsidR="004456D1" w:rsidRPr="004456D1" w:rsidRDefault="004456D1" w:rsidP="004456D1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4456D1" w:rsidRDefault="00765CF2" w:rsidP="004456D1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4456D1">
        <w:rPr>
          <w:rFonts w:ascii="Arial" w:hAnsi="Arial" w:cs="Arial"/>
          <w:sz w:val="20"/>
          <w:szCs w:val="20"/>
        </w:rPr>
        <w:t>Evaluar los resultados de los trabajos de los grupos al pleno de la Comisión para su revisió</w:t>
      </w:r>
      <w:r w:rsidR="004456D1">
        <w:rPr>
          <w:rFonts w:ascii="Arial" w:hAnsi="Arial" w:cs="Arial"/>
          <w:sz w:val="20"/>
          <w:szCs w:val="20"/>
        </w:rPr>
        <w:t>n.</w:t>
      </w:r>
    </w:p>
    <w:p w:rsidR="00765CF2" w:rsidRPr="00112E23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17-</w:t>
      </w:r>
      <w:r w:rsidRPr="00765CF2">
        <w:rPr>
          <w:rFonts w:ascii="Arial" w:hAnsi="Arial" w:cs="Arial"/>
          <w:sz w:val="20"/>
          <w:szCs w:val="20"/>
        </w:rPr>
        <w:t xml:space="preserve"> En todos los casos en que se requiera la participación directa de la ciudadanía, para la revisión, seguimiento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y evaluación de los programas de desarrollo urbano, el H. Ayuntamiento convocará a foros de consulta ciudadana, a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través de los dos diarios de mayor circulación. Así mismo se promoverá mediante invitación personalizada, teniendo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estos las siguientes características:</w:t>
      </w:r>
    </w:p>
    <w:p w:rsidR="00765CF2" w:rsidRPr="00112E23" w:rsidRDefault="00765CF2" w:rsidP="00112E2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Se realizarán en forma periódica, cuando menos una vez al añ</w:t>
      </w:r>
      <w:r w:rsidR="00112E23">
        <w:rPr>
          <w:rFonts w:ascii="Arial" w:hAnsi="Arial" w:cs="Arial"/>
          <w:sz w:val="20"/>
          <w:szCs w:val="20"/>
        </w:rPr>
        <w:t>o.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Serán totalmente abiertos y en ellos podrán participar todos los interesado</w:t>
      </w:r>
      <w:r w:rsidR="00112E23">
        <w:rPr>
          <w:rFonts w:ascii="Arial" w:hAnsi="Arial" w:cs="Arial"/>
          <w:sz w:val="20"/>
          <w:szCs w:val="20"/>
        </w:rPr>
        <w:t>s.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El plan o proyecto a elaborar o modificar o el cual se practicarán acciones de seguimiento y evaluación, deberá ser difundido ampliamente antes de la realización del for</w:t>
      </w:r>
      <w:r w:rsidR="00112E23">
        <w:rPr>
          <w:rFonts w:ascii="Arial" w:hAnsi="Arial" w:cs="Arial"/>
          <w:sz w:val="20"/>
          <w:szCs w:val="20"/>
        </w:rPr>
        <w:t>o.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112E23" w:rsidRPr="00112E23" w:rsidRDefault="00765CF2" w:rsidP="00112E2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Durante el foro se hará, por el Secretario Técnico, una breve presentación del Plan o Proyecto a debatir para centrar las opiniones ciudadanas. Los foros serán dirigidos y coordinados por el President</w:t>
      </w:r>
      <w:r w:rsidR="00112E23">
        <w:rPr>
          <w:rFonts w:ascii="Arial" w:hAnsi="Arial" w:cs="Arial"/>
          <w:sz w:val="20"/>
          <w:szCs w:val="20"/>
        </w:rPr>
        <w:t>e.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Las opiniones ciudadanas serán revisadas y los resultados del foro se darán a conocer públicamente, estos resultados se enviarán a la Administración Municipal, encargada de la formulación o modificación de los programas en</w:t>
      </w:r>
      <w:r w:rsidRPr="00112E23">
        <w:rPr>
          <w:rFonts w:ascii="Arial" w:hAnsi="Arial" w:cs="Arial"/>
          <w:b/>
          <w:sz w:val="20"/>
          <w:szCs w:val="20"/>
        </w:rPr>
        <w:t xml:space="preserve"> </w:t>
      </w:r>
      <w:r w:rsidRPr="00112E23">
        <w:rPr>
          <w:rFonts w:ascii="Arial" w:hAnsi="Arial" w:cs="Arial"/>
          <w:sz w:val="20"/>
          <w:szCs w:val="20"/>
        </w:rPr>
        <w:t>cuestió</w:t>
      </w:r>
      <w:r w:rsidR="00112E23">
        <w:rPr>
          <w:rFonts w:ascii="Arial" w:hAnsi="Arial" w:cs="Arial"/>
          <w:sz w:val="20"/>
          <w:szCs w:val="20"/>
        </w:rPr>
        <w:t>n.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Los resultados de la consulta ciudadana se tendrán a disposición de los interesados en la misma Comisión y en la Dirección General de Desarrollo Urban</w:t>
      </w:r>
      <w:r w:rsidR="00112E23">
        <w:rPr>
          <w:rFonts w:ascii="Arial" w:hAnsi="Arial" w:cs="Arial"/>
          <w:sz w:val="20"/>
          <w:szCs w:val="20"/>
        </w:rPr>
        <w:t>o.</w:t>
      </w:r>
    </w:p>
    <w:p w:rsidR="00765CF2" w:rsidRPr="00765CF2" w:rsidRDefault="00765CF2" w:rsidP="00302FF4">
      <w:pPr>
        <w:jc w:val="center"/>
        <w:rPr>
          <w:rFonts w:ascii="Arial" w:hAnsi="Arial" w:cs="Arial"/>
          <w:b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CAPITULO VI</w:t>
      </w:r>
      <w:r w:rsidR="00302FF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765CF2">
        <w:rPr>
          <w:rFonts w:ascii="Arial" w:hAnsi="Arial" w:cs="Arial"/>
          <w:b/>
          <w:sz w:val="20"/>
          <w:szCs w:val="20"/>
        </w:rPr>
        <w:t>REUNIONES DE LA COMISIÓN CONSULTIVA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18.-</w:t>
      </w:r>
      <w:r w:rsidRPr="00765CF2">
        <w:rPr>
          <w:rFonts w:ascii="Arial" w:hAnsi="Arial" w:cs="Arial"/>
          <w:sz w:val="20"/>
          <w:szCs w:val="20"/>
        </w:rPr>
        <w:t xml:space="preserve"> Las reuniones ordinarias de la Comisión estarán calendarizadas de acuerdo a las necesidades o las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cargas de trabajo por resolver en la fecha, hora y lugar que se determine previamente, dando aviso a los integrantes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cuando menos cinco días hábiles antes de la reunión, no debiendo exceder esta de noventa minutos.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19.-</w:t>
      </w:r>
      <w:r w:rsidRPr="00765CF2">
        <w:rPr>
          <w:rFonts w:ascii="Arial" w:hAnsi="Arial" w:cs="Arial"/>
          <w:sz w:val="20"/>
          <w:szCs w:val="20"/>
        </w:rPr>
        <w:t xml:space="preserve"> El acceso a personas no integrantes de la Comisión, se permitirá única y exclusivamente, con el objeto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de exponer argumentos relativos a proyectos o programas contemplados en el orden del día, con previa solicitud.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Concluida la participación, la Comisión analizará los asuntos en forma privada.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20.-</w:t>
      </w:r>
      <w:r w:rsidRPr="00765CF2">
        <w:rPr>
          <w:rFonts w:ascii="Arial" w:hAnsi="Arial" w:cs="Arial"/>
          <w:sz w:val="20"/>
          <w:szCs w:val="20"/>
        </w:rPr>
        <w:t xml:space="preserve"> Las sesiones extraordinarias, se convocarán cuando menos con cuarenta y ocho horas de anticipación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por el Presidente, a petición fundada y motivada de cualquiera de los integrantes de la Comisión, a juicio del Secretario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Técnico, y sólo se tratarán el o los asuntos para la cual fue convocada.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lastRenderedPageBreak/>
        <w:t>Artículo 21.-</w:t>
      </w:r>
      <w:r w:rsidRPr="00765CF2">
        <w:rPr>
          <w:rFonts w:ascii="Arial" w:hAnsi="Arial" w:cs="Arial"/>
          <w:sz w:val="20"/>
          <w:szCs w:val="20"/>
        </w:rPr>
        <w:t xml:space="preserve"> Habrá un orden del día para cada sesión, la cual será elaborada por el Secretario Técnico de la Comisión,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quien recibirá y ordenará los asuntos que se tratarán, de acuerdo al siguiente formato:</w:t>
      </w:r>
    </w:p>
    <w:p w:rsidR="00112E23" w:rsidRPr="00112E23" w:rsidRDefault="00765CF2" w:rsidP="00112E2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Verificar la asistenci</w:t>
      </w:r>
      <w:r w:rsidR="00112E23">
        <w:rPr>
          <w:rFonts w:ascii="Arial" w:hAnsi="Arial" w:cs="Arial"/>
          <w:sz w:val="20"/>
          <w:szCs w:val="20"/>
        </w:rPr>
        <w:t>a;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Lectura del acta anterior para su aprobación o correcció</w:t>
      </w:r>
      <w:r w:rsidR="00112E23">
        <w:rPr>
          <w:rFonts w:ascii="Arial" w:hAnsi="Arial" w:cs="Arial"/>
          <w:sz w:val="20"/>
          <w:szCs w:val="20"/>
        </w:rPr>
        <w:t>n;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Asuntos específico</w:t>
      </w:r>
      <w:r w:rsidR="00112E23">
        <w:rPr>
          <w:rFonts w:ascii="Arial" w:hAnsi="Arial" w:cs="Arial"/>
          <w:sz w:val="20"/>
          <w:szCs w:val="20"/>
        </w:rPr>
        <w:t>s;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Asuntos generales;</w:t>
      </w:r>
      <w:r w:rsidR="00112E23">
        <w:rPr>
          <w:rFonts w:ascii="Arial" w:hAnsi="Arial" w:cs="Arial"/>
          <w:b/>
          <w:sz w:val="20"/>
          <w:szCs w:val="20"/>
        </w:rPr>
        <w:t xml:space="preserve"> </w:t>
      </w:r>
      <w:r w:rsidR="00112E23">
        <w:rPr>
          <w:rFonts w:ascii="Arial" w:hAnsi="Arial" w:cs="Arial"/>
          <w:sz w:val="20"/>
          <w:szCs w:val="20"/>
        </w:rPr>
        <w:t>y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Clausura de la reunió</w:t>
      </w:r>
      <w:r w:rsidR="00112E23">
        <w:rPr>
          <w:rFonts w:ascii="Arial" w:hAnsi="Arial" w:cs="Arial"/>
          <w:sz w:val="20"/>
          <w:szCs w:val="20"/>
        </w:rPr>
        <w:t>n.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22.-</w:t>
      </w:r>
      <w:r w:rsidRPr="00765CF2">
        <w:rPr>
          <w:rFonts w:ascii="Arial" w:hAnsi="Arial" w:cs="Arial"/>
          <w:sz w:val="20"/>
          <w:szCs w:val="20"/>
        </w:rPr>
        <w:t xml:space="preserve"> Se sesionará con una asistencia mínima del 50% más uno de los integrantes de la Comisión, previamente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convocados. En caso de no contar con la asistencia mínima, se considerará una tolerancia máxima de 30 minutos y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se iniciará la sesión con la asistencia existente.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23.-</w:t>
      </w:r>
      <w:r w:rsidRPr="00765CF2">
        <w:rPr>
          <w:rFonts w:ascii="Arial" w:hAnsi="Arial" w:cs="Arial"/>
          <w:sz w:val="20"/>
          <w:szCs w:val="20"/>
        </w:rPr>
        <w:t xml:space="preserve"> Los integrantes que no asistan a las reuniones por una sola vez, tendrán la obligación de informarse de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los acuerdos tomados en su ausencia.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24.-</w:t>
      </w:r>
      <w:r w:rsidRPr="00765CF2">
        <w:rPr>
          <w:rFonts w:ascii="Arial" w:hAnsi="Arial" w:cs="Arial"/>
          <w:sz w:val="20"/>
          <w:szCs w:val="20"/>
        </w:rPr>
        <w:t xml:space="preserve"> En el desarrollo de las reuniones se observará lo siguiente:</w:t>
      </w:r>
    </w:p>
    <w:p w:rsidR="00765CF2" w:rsidRDefault="00765CF2" w:rsidP="00112E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El Presidente de la Comisión dirigirá y moderará las reuniones y los debates en los que podrán participar todos los integrantes de la Comisión, en el orden en que solicitan hacer uso de la palabr</w:t>
      </w:r>
      <w:r w:rsidR="00112E23">
        <w:rPr>
          <w:rFonts w:ascii="Arial" w:hAnsi="Arial" w:cs="Arial"/>
          <w:sz w:val="20"/>
          <w:szCs w:val="20"/>
        </w:rPr>
        <w:t>a;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Los integrantes participantes podrán hacer propuestas, informar y discutir en forma razonada y respetuosa, acerca de los asuntos a tratar en las reuniones de la Comisió</w:t>
      </w:r>
      <w:r w:rsidR="00112E23">
        <w:rPr>
          <w:rFonts w:ascii="Arial" w:hAnsi="Arial" w:cs="Arial"/>
          <w:sz w:val="20"/>
          <w:szCs w:val="20"/>
        </w:rPr>
        <w:t>n.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Al ponerse a discusión los asuntos, deberán exponerse las razones y fundamentos que los motiven. Si al término de dicha exposición nadie solicitara la palabra, o bien cuando se considere suficientemente tratado, será sometido a votació</w:t>
      </w:r>
      <w:r w:rsidR="00112E23">
        <w:rPr>
          <w:rFonts w:ascii="Arial" w:hAnsi="Arial" w:cs="Arial"/>
          <w:sz w:val="20"/>
          <w:szCs w:val="20"/>
        </w:rPr>
        <w:t>n;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Al término de las reuniones en caso de que los puntos a tratar o la orden del día no esté agotada, deberán dejarse para una próxima reunió</w:t>
      </w:r>
      <w:r w:rsidR="00112E23">
        <w:rPr>
          <w:rFonts w:ascii="Arial" w:hAnsi="Arial" w:cs="Arial"/>
          <w:sz w:val="20"/>
          <w:szCs w:val="20"/>
        </w:rPr>
        <w:t>n.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En ausencia del Presidente de la Comisión o de su representante se cancelará la sesión y se emitirá una nueva convocatoria dentro de los tres días siguientes</w:t>
      </w:r>
      <w:r w:rsidR="00112E23">
        <w:rPr>
          <w:rFonts w:ascii="Arial" w:hAnsi="Arial" w:cs="Arial"/>
          <w:sz w:val="20"/>
          <w:szCs w:val="20"/>
        </w:rPr>
        <w:t>; y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No podrán suspenderse más de dos reuniones seguidas debidas a la ausencia del Presidente de la Comisión o de su suplente. En caso de presentarse esta situación, sesionará la Comisión y sus resoluciones serán válida</w:t>
      </w:r>
      <w:r w:rsidR="00112E23">
        <w:rPr>
          <w:rFonts w:ascii="Arial" w:hAnsi="Arial" w:cs="Arial"/>
          <w:sz w:val="20"/>
          <w:szCs w:val="20"/>
        </w:rPr>
        <w:t>s.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25.-</w:t>
      </w:r>
      <w:r w:rsidRPr="00765CF2">
        <w:rPr>
          <w:rFonts w:ascii="Arial" w:hAnsi="Arial" w:cs="Arial"/>
          <w:sz w:val="20"/>
          <w:szCs w:val="20"/>
        </w:rPr>
        <w:t xml:space="preserve"> La votación de los acuerdos captados en la Comisión </w:t>
      </w:r>
      <w:proofErr w:type="gramStart"/>
      <w:r w:rsidRPr="00765CF2">
        <w:rPr>
          <w:rFonts w:ascii="Arial" w:hAnsi="Arial" w:cs="Arial"/>
          <w:sz w:val="20"/>
          <w:szCs w:val="20"/>
        </w:rPr>
        <w:t>estarán</w:t>
      </w:r>
      <w:proofErr w:type="gramEnd"/>
      <w:r w:rsidRPr="00765CF2">
        <w:rPr>
          <w:rFonts w:ascii="Arial" w:hAnsi="Arial" w:cs="Arial"/>
          <w:sz w:val="20"/>
          <w:szCs w:val="20"/>
        </w:rPr>
        <w:t xml:space="preserve"> sujetos a lo siguiente:</w:t>
      </w:r>
    </w:p>
    <w:p w:rsidR="00765CF2" w:rsidRDefault="00765CF2" w:rsidP="00112E2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El Presidente el Secretario Técnico y los Vocales, tendrán derecho de voz y voto, así como las personas, dependencias y organismos que por sus atribuciones la Comisión estime necesaria su invitación y participación, solamente tendrán derecho de vo</w:t>
      </w:r>
      <w:r w:rsidR="00112E23">
        <w:rPr>
          <w:rFonts w:ascii="Arial" w:hAnsi="Arial" w:cs="Arial"/>
          <w:sz w:val="20"/>
          <w:szCs w:val="20"/>
        </w:rPr>
        <w:t>z.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El Presidente de la Comisión tendrá voto de calidad en caso de empat</w:t>
      </w:r>
      <w:r w:rsidR="00112E23">
        <w:rPr>
          <w:rFonts w:ascii="Arial" w:hAnsi="Arial" w:cs="Arial"/>
          <w:sz w:val="20"/>
          <w:szCs w:val="20"/>
        </w:rPr>
        <w:t>e.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lastRenderedPageBreak/>
        <w:t>Los acuerdos que se tomen en las reuniones deberán ser aprobados por consenso o mayoría y no serán obligatorios para la autoridad municipal y en ningún caso tendrán carácter definitivo y de ejecució</w:t>
      </w:r>
      <w:r w:rsidR="00112E23">
        <w:rPr>
          <w:rFonts w:ascii="Arial" w:hAnsi="Arial" w:cs="Arial"/>
          <w:sz w:val="20"/>
          <w:szCs w:val="20"/>
        </w:rPr>
        <w:t>n.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Se abstendrán de votar y también de discutir los que tuvieran interés personal en el asunto o discusió</w:t>
      </w:r>
      <w:r w:rsidR="00112E23">
        <w:rPr>
          <w:rFonts w:ascii="Arial" w:hAnsi="Arial" w:cs="Arial"/>
          <w:sz w:val="20"/>
          <w:szCs w:val="20"/>
        </w:rPr>
        <w:t>n.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La revocación de los acuerdos no podrán llevarse a cabo en la misma reunión que se dio a conocer, sino en las reuniones siguientes, asentándose en el acta respectiva el acuerdo que se piensa revocar</w:t>
      </w:r>
      <w:r w:rsidR="00112E23">
        <w:rPr>
          <w:rFonts w:ascii="Arial" w:hAnsi="Arial" w:cs="Arial"/>
          <w:sz w:val="20"/>
          <w:szCs w:val="20"/>
        </w:rPr>
        <w:t>; y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En todos los casos se señalará el resultado de la votación, a fin de que el Ayuntamiento, al conocerlo, pueda valorar el sentido de la mism</w:t>
      </w:r>
      <w:r w:rsidR="00112E23">
        <w:rPr>
          <w:rFonts w:ascii="Arial" w:hAnsi="Arial" w:cs="Arial"/>
          <w:sz w:val="20"/>
          <w:szCs w:val="20"/>
        </w:rPr>
        <w:t>a.</w:t>
      </w:r>
    </w:p>
    <w:p w:rsidR="00112E23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26.-</w:t>
      </w:r>
      <w:r w:rsidRPr="00765CF2">
        <w:rPr>
          <w:rFonts w:ascii="Arial" w:hAnsi="Arial" w:cs="Arial"/>
          <w:sz w:val="20"/>
          <w:szCs w:val="20"/>
        </w:rPr>
        <w:t xml:space="preserve"> Los integrantes que no justifiquen sus faltas en las reuniones, serán acreedores a las sanciones que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dictamine la Comisión en pleno, en virtud de la responsabilidad y la confianza que se les tiene depositada por las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dependencias y organismos que los designaron. Las sanciones serán las siguientes:</w:t>
      </w:r>
    </w:p>
    <w:p w:rsidR="00765CF2" w:rsidRDefault="00765CF2" w:rsidP="00112E23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Amonestación verbal en lo particula</w:t>
      </w:r>
      <w:r w:rsidR="00112E23">
        <w:rPr>
          <w:rFonts w:ascii="Arial" w:hAnsi="Arial" w:cs="Arial"/>
          <w:sz w:val="20"/>
          <w:szCs w:val="20"/>
        </w:rPr>
        <w:t>r;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Default="00765CF2" w:rsidP="00112E23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Extrañamiento por escrito firmado por el Secretario Técnico, al representante con conocimiento a la Institución que representa</w:t>
      </w:r>
      <w:r w:rsidR="00112E23">
        <w:rPr>
          <w:rFonts w:ascii="Arial" w:hAnsi="Arial" w:cs="Arial"/>
          <w:sz w:val="20"/>
          <w:szCs w:val="20"/>
        </w:rPr>
        <w:t>; y</w:t>
      </w:r>
    </w:p>
    <w:p w:rsidR="00112E23" w:rsidRPr="00112E23" w:rsidRDefault="00112E23" w:rsidP="00112E2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65CF2" w:rsidRPr="00112E23" w:rsidRDefault="00765CF2" w:rsidP="00112E23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112E23">
        <w:rPr>
          <w:rFonts w:ascii="Arial" w:hAnsi="Arial" w:cs="Arial"/>
          <w:sz w:val="20"/>
          <w:szCs w:val="20"/>
        </w:rPr>
        <w:t>Sustitución definitiva del representante del organismo en la Comisió</w:t>
      </w:r>
      <w:r w:rsidR="00112E23">
        <w:rPr>
          <w:rFonts w:ascii="Arial" w:hAnsi="Arial" w:cs="Arial"/>
          <w:sz w:val="20"/>
          <w:szCs w:val="20"/>
        </w:rPr>
        <w:t>n.</w:t>
      </w:r>
    </w:p>
    <w:p w:rsid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Artículo 27.-</w:t>
      </w:r>
      <w:r w:rsidRPr="00765CF2">
        <w:rPr>
          <w:rFonts w:ascii="Arial" w:hAnsi="Arial" w:cs="Arial"/>
          <w:sz w:val="20"/>
          <w:szCs w:val="20"/>
        </w:rPr>
        <w:t xml:space="preserve"> Se deberá tener respeto a las ideas de los demás, en caso de no hacerlo será motivo de amonestación,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y de reincidir, se le solicitará al representante del organismo, se retire de la sesión.</w:t>
      </w:r>
    </w:p>
    <w:p w:rsidR="008203F5" w:rsidRPr="00765CF2" w:rsidRDefault="008203F5" w:rsidP="00765CF2">
      <w:pPr>
        <w:jc w:val="both"/>
        <w:rPr>
          <w:rFonts w:ascii="Arial" w:hAnsi="Arial" w:cs="Arial"/>
          <w:sz w:val="20"/>
          <w:szCs w:val="20"/>
        </w:rPr>
      </w:pPr>
    </w:p>
    <w:p w:rsidR="00765CF2" w:rsidRPr="00545934" w:rsidRDefault="00302FF4" w:rsidP="00765CF2">
      <w:pPr>
        <w:jc w:val="center"/>
        <w:rPr>
          <w:rFonts w:ascii="Arial" w:hAnsi="Arial" w:cs="Arial"/>
          <w:b/>
          <w:sz w:val="20"/>
          <w:szCs w:val="20"/>
        </w:rPr>
      </w:pPr>
      <w:r w:rsidRPr="00545934">
        <w:rPr>
          <w:rFonts w:ascii="Arial" w:hAnsi="Arial" w:cs="Arial"/>
          <w:b/>
          <w:sz w:val="20"/>
          <w:szCs w:val="20"/>
        </w:rPr>
        <w:t>TRANSITORIO</w:t>
      </w:r>
      <w:r w:rsidR="00765CF2" w:rsidRPr="00545934">
        <w:rPr>
          <w:rFonts w:ascii="Arial" w:hAnsi="Arial" w:cs="Arial"/>
          <w:b/>
          <w:sz w:val="20"/>
          <w:szCs w:val="20"/>
        </w:rPr>
        <w:t>S: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PRIMERO.-</w:t>
      </w:r>
      <w:r w:rsidRPr="00765CF2">
        <w:rPr>
          <w:rFonts w:ascii="Arial" w:hAnsi="Arial" w:cs="Arial"/>
          <w:sz w:val="20"/>
          <w:szCs w:val="20"/>
        </w:rPr>
        <w:t xml:space="preserve"> El presente reglamento entrará en vigor al día siguiente de su publicación en el Periódico Oficial "El Estado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de Colima".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SEGUNDO.-</w:t>
      </w:r>
      <w:r w:rsidRPr="00765CF2">
        <w:rPr>
          <w:rFonts w:ascii="Arial" w:hAnsi="Arial" w:cs="Arial"/>
          <w:sz w:val="20"/>
          <w:szCs w:val="20"/>
        </w:rPr>
        <w:t xml:space="preserve"> La Comisión Consultiva por acuerdo de cuando menos la mitad mas uno de sus miembros, podrá en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cualquier momento proponer al H. Cabildo Municipal, el proyecto de reformas y adiciones al presente ordenamiento.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b/>
          <w:sz w:val="20"/>
          <w:szCs w:val="20"/>
        </w:rPr>
        <w:t>TERCERO.-</w:t>
      </w:r>
      <w:r w:rsidRPr="00765CF2">
        <w:rPr>
          <w:rFonts w:ascii="Arial" w:hAnsi="Arial" w:cs="Arial"/>
          <w:sz w:val="20"/>
          <w:szCs w:val="20"/>
        </w:rPr>
        <w:t xml:space="preserve"> El presidente Municipal dispondrá se imprima, publique, circule y se le dé el debido cumplimiento., de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acuerdo a lo dispuesto por el artículo 47, fracción I, incisos a) y f), de la Ley del Municipio Libre.</w:t>
      </w:r>
    </w:p>
    <w:p w:rsidR="00765CF2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sz w:val="20"/>
          <w:szCs w:val="20"/>
        </w:rPr>
        <w:t>Dado en el Salón de Cabildo del Honorable Ayuntamiento, en la ciudad de Colima, Colima, a los 19 días del mes de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Enero del año dos mil seis.</w:t>
      </w:r>
    </w:p>
    <w:p w:rsidR="0031455F" w:rsidRPr="00765CF2" w:rsidRDefault="00765CF2" w:rsidP="00765CF2">
      <w:pPr>
        <w:jc w:val="both"/>
        <w:rPr>
          <w:rFonts w:ascii="Arial" w:hAnsi="Arial" w:cs="Arial"/>
          <w:sz w:val="20"/>
          <w:szCs w:val="20"/>
        </w:rPr>
      </w:pPr>
      <w:r w:rsidRPr="00765CF2">
        <w:rPr>
          <w:rFonts w:ascii="Arial" w:hAnsi="Arial" w:cs="Arial"/>
          <w:sz w:val="20"/>
          <w:szCs w:val="20"/>
        </w:rPr>
        <w:t>C.P. LEONCIO A. MORAN SANCHEZ. Presidente Municipal.- Rúbrica.- L.A.E. SALVADOR CARDENAS MORALES.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Secretario del H. Ayuntamiento.- Rúbrica.- C. ENRIQUE SILVA ALCARAZ. Síndico Municipal.- Rúbrica.- REGIDORES: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LIC. GLADYS Z. RODRIGUEZ DE LA ROSA. Rúbrica.- ARQ. MA. DEL ROCIO APOLINAR ACEVEDO. Rúbrica.- ARQ.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 xml:space="preserve">ANTONIO ANDRADE GUZMAN. </w:t>
      </w:r>
      <w:r w:rsidRPr="00765CF2">
        <w:rPr>
          <w:rFonts w:ascii="Arial" w:hAnsi="Arial" w:cs="Arial"/>
          <w:sz w:val="20"/>
          <w:szCs w:val="20"/>
        </w:rPr>
        <w:lastRenderedPageBreak/>
        <w:t>Rúbrica.- LIC. LAURA ROCHA PEREZ. Rúbrica.- LIC. JOSE ANGEL BECERRA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SAINZ. Rúbrica.- PROFR. MARCO ANTONIO LEPE ANZAR. Rúbrica.- LIC. ROBERTO CHAPULA DE LA MORA.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Rúbrica.- PROFR. FEDERICO RANGEL LOZANO. Rúbrica.- C. MARTHA ARTEMIZA CRUZ ALCARAZ. Rúbrica.- LIC.</w:t>
      </w:r>
      <w:r>
        <w:rPr>
          <w:rFonts w:ascii="Arial" w:hAnsi="Arial" w:cs="Arial"/>
          <w:sz w:val="20"/>
          <w:szCs w:val="20"/>
        </w:rPr>
        <w:t xml:space="preserve"> </w:t>
      </w:r>
      <w:r w:rsidRPr="00765CF2">
        <w:rPr>
          <w:rFonts w:ascii="Arial" w:hAnsi="Arial" w:cs="Arial"/>
          <w:sz w:val="20"/>
          <w:szCs w:val="20"/>
        </w:rPr>
        <w:t>RUBEN PEREZ ANGUIANO. Rúbrica.- MTRO. RAMON LEON MORALES. Rúbrica.-</w:t>
      </w:r>
    </w:p>
    <w:sectPr w:rsidR="0031455F" w:rsidRPr="00765CF2" w:rsidSect="00302FF4">
      <w:pgSz w:w="12240" w:h="15840"/>
      <w:pgMar w:top="1417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595"/>
    <w:multiLevelType w:val="hybridMultilevel"/>
    <w:tmpl w:val="23DAED90"/>
    <w:lvl w:ilvl="0" w:tplc="5BAA1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420"/>
    <w:multiLevelType w:val="hybridMultilevel"/>
    <w:tmpl w:val="01C062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3E5E"/>
    <w:multiLevelType w:val="hybridMultilevel"/>
    <w:tmpl w:val="D9F2CA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7CA1"/>
    <w:multiLevelType w:val="hybridMultilevel"/>
    <w:tmpl w:val="123499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39DB"/>
    <w:multiLevelType w:val="hybridMultilevel"/>
    <w:tmpl w:val="6E68F4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DB6"/>
    <w:multiLevelType w:val="hybridMultilevel"/>
    <w:tmpl w:val="94E472AA"/>
    <w:lvl w:ilvl="0" w:tplc="3E769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014E5"/>
    <w:multiLevelType w:val="hybridMultilevel"/>
    <w:tmpl w:val="978E89D0"/>
    <w:lvl w:ilvl="0" w:tplc="F9A4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63E34"/>
    <w:multiLevelType w:val="hybridMultilevel"/>
    <w:tmpl w:val="D76E4F70"/>
    <w:lvl w:ilvl="0" w:tplc="6DCEF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E4C"/>
    <w:multiLevelType w:val="hybridMultilevel"/>
    <w:tmpl w:val="35B6F5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5D80"/>
    <w:multiLevelType w:val="hybridMultilevel"/>
    <w:tmpl w:val="4ABEBECE"/>
    <w:lvl w:ilvl="0" w:tplc="DE0E4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92B2F"/>
    <w:multiLevelType w:val="hybridMultilevel"/>
    <w:tmpl w:val="E8EA0A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1AF6"/>
    <w:multiLevelType w:val="hybridMultilevel"/>
    <w:tmpl w:val="E62CC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6294"/>
    <w:multiLevelType w:val="hybridMultilevel"/>
    <w:tmpl w:val="270A32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24D60"/>
    <w:multiLevelType w:val="hybridMultilevel"/>
    <w:tmpl w:val="B3D8DAF4"/>
    <w:lvl w:ilvl="0" w:tplc="DD661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5BA"/>
    <w:multiLevelType w:val="hybridMultilevel"/>
    <w:tmpl w:val="5DC819CC"/>
    <w:lvl w:ilvl="0" w:tplc="AF501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EC0"/>
    <w:multiLevelType w:val="hybridMultilevel"/>
    <w:tmpl w:val="7FD808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14A37"/>
    <w:multiLevelType w:val="hybridMultilevel"/>
    <w:tmpl w:val="2DC2F9CE"/>
    <w:lvl w:ilvl="0" w:tplc="0AE20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C7C3C"/>
    <w:multiLevelType w:val="hybridMultilevel"/>
    <w:tmpl w:val="B5D43E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848F2"/>
    <w:multiLevelType w:val="hybridMultilevel"/>
    <w:tmpl w:val="E5627788"/>
    <w:lvl w:ilvl="0" w:tplc="CE9A9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94AFB"/>
    <w:multiLevelType w:val="hybridMultilevel"/>
    <w:tmpl w:val="554C97EE"/>
    <w:lvl w:ilvl="0" w:tplc="45DEA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A2757"/>
    <w:multiLevelType w:val="hybridMultilevel"/>
    <w:tmpl w:val="A2BCB864"/>
    <w:lvl w:ilvl="0" w:tplc="28A82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94070"/>
    <w:multiLevelType w:val="hybridMultilevel"/>
    <w:tmpl w:val="A1DE3B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A5B31"/>
    <w:multiLevelType w:val="hybridMultilevel"/>
    <w:tmpl w:val="3C54C9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46BD0"/>
    <w:multiLevelType w:val="hybridMultilevel"/>
    <w:tmpl w:val="236AED0A"/>
    <w:lvl w:ilvl="0" w:tplc="4D2AA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56FB1"/>
    <w:multiLevelType w:val="hybridMultilevel"/>
    <w:tmpl w:val="36CEC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AD0"/>
    <w:multiLevelType w:val="hybridMultilevel"/>
    <w:tmpl w:val="1D8E1E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5"/>
  </w:num>
  <w:num w:numId="5">
    <w:abstractNumId w:val="22"/>
  </w:num>
  <w:num w:numId="6">
    <w:abstractNumId w:val="20"/>
  </w:num>
  <w:num w:numId="7">
    <w:abstractNumId w:val="8"/>
  </w:num>
  <w:num w:numId="8">
    <w:abstractNumId w:val="18"/>
  </w:num>
  <w:num w:numId="9">
    <w:abstractNumId w:val="24"/>
  </w:num>
  <w:num w:numId="10">
    <w:abstractNumId w:val="16"/>
  </w:num>
  <w:num w:numId="11">
    <w:abstractNumId w:val="1"/>
  </w:num>
  <w:num w:numId="12">
    <w:abstractNumId w:val="23"/>
  </w:num>
  <w:num w:numId="13">
    <w:abstractNumId w:val="21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7"/>
  </w:num>
  <w:num w:numId="19">
    <w:abstractNumId w:val="4"/>
  </w:num>
  <w:num w:numId="20">
    <w:abstractNumId w:val="6"/>
  </w:num>
  <w:num w:numId="21">
    <w:abstractNumId w:val="15"/>
  </w:num>
  <w:num w:numId="22">
    <w:abstractNumId w:val="14"/>
  </w:num>
  <w:num w:numId="23">
    <w:abstractNumId w:val="3"/>
  </w:num>
  <w:num w:numId="24">
    <w:abstractNumId w:val="9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65CF2"/>
    <w:rsid w:val="00060B9E"/>
    <w:rsid w:val="00112E23"/>
    <w:rsid w:val="002353E1"/>
    <w:rsid w:val="00302FF4"/>
    <w:rsid w:val="0031455F"/>
    <w:rsid w:val="004456D1"/>
    <w:rsid w:val="004B6F07"/>
    <w:rsid w:val="00545934"/>
    <w:rsid w:val="00663FAF"/>
    <w:rsid w:val="00765CF2"/>
    <w:rsid w:val="00793815"/>
    <w:rsid w:val="008203F5"/>
    <w:rsid w:val="009D7D0F"/>
    <w:rsid w:val="00A0595E"/>
    <w:rsid w:val="00AF06C6"/>
    <w:rsid w:val="00D0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3438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6</cp:revision>
  <dcterms:created xsi:type="dcterms:W3CDTF">2013-02-26T17:58:00Z</dcterms:created>
  <dcterms:modified xsi:type="dcterms:W3CDTF">2013-06-20T19:55:00Z</dcterms:modified>
</cp:coreProperties>
</file>